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 w:val="right" w:pos="13323"/>
        </w:tabs>
        <w:spacing w:after="0"/>
        <w:rPr>
          <w:rFonts w:hint="default" w:cs="Arial"/>
          <w:b/>
          <w:bCs/>
          <w:sz w:val="20"/>
          <w:szCs w:val="20"/>
          <w:lang w:val="en-US"/>
        </w:rPr>
      </w:pPr>
      <w:bookmarkStart w:id="0" w:name="Title"/>
      <w:bookmarkEnd w:id="0"/>
      <w:bookmarkStart w:id="1" w:name="DocumentFor"/>
      <w:bookmarkEnd w:id="1"/>
      <w:r>
        <w:rPr>
          <w:rFonts w:cs="Arial"/>
          <w:b/>
          <w:bCs/>
          <w:sz w:val="20"/>
          <w:szCs w:val="20"/>
        </w:rPr>
        <w:t>3GPP TSG RAN WG2#1</w:t>
      </w:r>
      <w:r>
        <w:rPr>
          <w:rFonts w:cs="Arial"/>
          <w:b/>
          <w:bCs/>
          <w:sz w:val="20"/>
          <w:szCs w:val="20"/>
          <w:lang w:val="en-US"/>
        </w:rPr>
        <w:t>21</w:t>
      </w:r>
      <w:r>
        <w:rPr>
          <w:rFonts w:hint="default" w:cs="Arial"/>
          <w:b/>
          <w:bCs/>
          <w:sz w:val="20"/>
          <w:szCs w:val="20"/>
          <w:lang w:val="en-US"/>
        </w:rPr>
        <w:t>bis</w:t>
      </w:r>
      <w:r>
        <w:rPr>
          <w:rFonts w:cs="Arial"/>
          <w:b/>
          <w:bCs/>
          <w:sz w:val="20"/>
          <w:szCs w:val="20"/>
        </w:rPr>
        <w:tab/>
      </w:r>
      <w:r>
        <w:rPr>
          <w:rFonts w:hint="eastAsia" w:cs="Arial"/>
          <w:b/>
          <w:bCs/>
          <w:sz w:val="20"/>
          <w:szCs w:val="20"/>
        </w:rPr>
        <w:t>R2-230</w:t>
      </w:r>
      <w:bookmarkStart w:id="4" w:name="_GoBack"/>
      <w:bookmarkEnd w:id="4"/>
      <w:r>
        <w:rPr>
          <w:rFonts w:hint="eastAsia" w:cs="Arial"/>
          <w:b/>
          <w:bCs/>
          <w:sz w:val="20"/>
          <w:szCs w:val="20"/>
        </w:rPr>
        <w:t>3802</w:t>
      </w:r>
    </w:p>
    <w:p>
      <w:pPr>
        <w:pStyle w:val="105"/>
        <w:tabs>
          <w:tab w:val="right" w:pos="9639"/>
          <w:tab w:val="right" w:pos="13323"/>
        </w:tabs>
        <w:spacing w:after="0"/>
        <w:textAlignment w:val="center"/>
        <w:rPr>
          <w:rFonts w:cs="Arial"/>
          <w:b/>
          <w:bCs/>
          <w:sz w:val="20"/>
          <w:szCs w:val="20"/>
          <w:lang w:val="en-US" w:eastAsia="zh-CN"/>
        </w:rPr>
      </w:pPr>
      <w:r>
        <w:rPr>
          <w:rFonts w:hint="eastAsia" w:cs="Arial"/>
          <w:b/>
          <w:bCs/>
          <w:sz w:val="20"/>
          <w:szCs w:val="20"/>
          <w:lang w:val="en-US" w:eastAsia="zh-CN"/>
        </w:rPr>
        <w:t>Online, April 17th–April 26th, 2023</w:t>
      </w:r>
    </w:p>
    <w:p>
      <w:pPr>
        <w:pStyle w:val="105"/>
        <w:tabs>
          <w:tab w:val="right" w:pos="9639"/>
          <w:tab w:val="right" w:pos="13323"/>
        </w:tabs>
        <w:spacing w:after="0"/>
        <w:textAlignment w:val="center"/>
        <w:rPr>
          <w:rFonts w:cs="Arial"/>
          <w:b/>
          <w:bCs/>
          <w:sz w:val="20"/>
          <w:szCs w:val="20"/>
          <w:lang w:val="en-US" w:eastAsia="zh-CN"/>
        </w:rPr>
      </w:pPr>
    </w:p>
    <w:p>
      <w:pPr>
        <w:tabs>
          <w:tab w:val="left" w:pos="1985"/>
        </w:tabs>
        <w:overflowPunct/>
        <w:autoSpaceDE/>
        <w:autoSpaceDN/>
        <w:adjustRightInd/>
        <w:spacing w:after="180"/>
        <w:ind w:left="1980" w:hanging="1980"/>
        <w:jc w:val="left"/>
        <w:textAlignment w:val="auto"/>
        <w:rPr>
          <w:b/>
          <w:sz w:val="20"/>
          <w:szCs w:val="20"/>
          <w:lang w:val="en-GB" w:eastAsia="en-US"/>
        </w:rPr>
      </w:pPr>
      <w:r>
        <w:rPr>
          <w:b/>
          <w:sz w:val="20"/>
          <w:szCs w:val="20"/>
          <w:lang w:val="en-GB" w:eastAsia="en-US"/>
        </w:rPr>
        <w:t>Agenda Item:</w:t>
      </w:r>
      <w:r>
        <w:rPr>
          <w:b/>
          <w:sz w:val="20"/>
          <w:szCs w:val="20"/>
          <w:lang w:val="en-GB" w:eastAsia="en-US"/>
        </w:rPr>
        <w:tab/>
      </w:r>
      <w:r>
        <w:rPr>
          <w:rFonts w:hint="default"/>
          <w:b/>
          <w:sz w:val="20"/>
          <w:szCs w:val="20"/>
          <w:lang w:val="en-US" w:eastAsia="en-US"/>
        </w:rPr>
        <w:t>7</w:t>
      </w:r>
      <w:r>
        <w:rPr>
          <w:b/>
          <w:sz w:val="20"/>
          <w:szCs w:val="20"/>
          <w:lang w:val="en-GB" w:eastAsia="en-US"/>
        </w:rPr>
        <w:t>.7.4.2</w:t>
      </w:r>
    </w:p>
    <w:p>
      <w:pPr>
        <w:tabs>
          <w:tab w:val="left" w:pos="1985"/>
        </w:tabs>
        <w:overflowPunct/>
        <w:autoSpaceDE/>
        <w:autoSpaceDN/>
        <w:adjustRightInd/>
        <w:spacing w:after="180"/>
        <w:ind w:left="1980" w:hanging="1980"/>
        <w:jc w:val="left"/>
        <w:textAlignment w:val="auto"/>
        <w:rPr>
          <w:rFonts w:hint="default" w:eastAsia="宋体"/>
          <w:b/>
          <w:sz w:val="20"/>
          <w:szCs w:val="20"/>
          <w:lang w:val="en-US" w:eastAsia="zh-CN"/>
        </w:rPr>
      </w:pPr>
      <w:r>
        <w:rPr>
          <w:b/>
          <w:sz w:val="20"/>
          <w:szCs w:val="20"/>
          <w:lang w:val="en-GB" w:eastAsia="en-US"/>
        </w:rPr>
        <w:t>Source:</w:t>
      </w:r>
      <w:r>
        <w:rPr>
          <w:b/>
          <w:sz w:val="20"/>
          <w:szCs w:val="20"/>
          <w:lang w:val="en-GB" w:eastAsia="en-US"/>
        </w:rPr>
        <w:tab/>
      </w:r>
      <w:r>
        <w:rPr>
          <w:b/>
          <w:sz w:val="20"/>
          <w:szCs w:val="20"/>
          <w:lang w:val="en-GB" w:eastAsia="en-US"/>
        </w:rPr>
        <w:t>CMCC</w:t>
      </w:r>
    </w:p>
    <w:p>
      <w:pPr>
        <w:tabs>
          <w:tab w:val="left" w:pos="1985"/>
        </w:tabs>
        <w:overflowPunct/>
        <w:autoSpaceDE/>
        <w:autoSpaceDN/>
        <w:adjustRightInd/>
        <w:spacing w:after="180"/>
        <w:ind w:left="1980" w:hanging="1980"/>
        <w:jc w:val="left"/>
        <w:textAlignment w:val="auto"/>
        <w:rPr>
          <w:rFonts w:hint="default" w:eastAsia="宋体"/>
          <w:b/>
          <w:sz w:val="20"/>
          <w:szCs w:val="20"/>
          <w:lang w:val="en-US"/>
        </w:rPr>
      </w:pPr>
      <w:r>
        <w:rPr>
          <w:b/>
          <w:sz w:val="20"/>
          <w:szCs w:val="20"/>
          <w:lang w:val="en-GB" w:eastAsia="en-US"/>
        </w:rPr>
        <w:t>Title:</w:t>
      </w:r>
      <w:r>
        <w:rPr>
          <w:b/>
          <w:sz w:val="20"/>
          <w:szCs w:val="20"/>
          <w:lang w:val="en-GB" w:eastAsia="en-US"/>
        </w:rPr>
        <w:tab/>
      </w:r>
      <w:r>
        <w:rPr>
          <w:rFonts w:hint="default"/>
          <w:b/>
          <w:sz w:val="20"/>
          <w:szCs w:val="20"/>
          <w:lang w:val="en-US" w:eastAsia="en-US"/>
        </w:rPr>
        <w:t>Further d</w:t>
      </w:r>
      <w:r>
        <w:rPr>
          <w:rFonts w:hint="default" w:eastAsia="宋体"/>
          <w:b/>
          <w:sz w:val="20"/>
          <w:szCs w:val="20"/>
          <w:lang w:val="en-US"/>
        </w:rPr>
        <w:t>iscussion on PCI unchanged</w:t>
      </w:r>
    </w:p>
    <w:p>
      <w:pPr>
        <w:tabs>
          <w:tab w:val="left" w:pos="1985"/>
        </w:tabs>
        <w:overflowPunct/>
        <w:autoSpaceDE/>
        <w:autoSpaceDN/>
        <w:adjustRightInd/>
        <w:spacing w:after="180"/>
        <w:ind w:left="1980" w:hanging="1980"/>
        <w:jc w:val="left"/>
        <w:textAlignment w:val="auto"/>
        <w:rPr>
          <w:b/>
          <w:sz w:val="20"/>
          <w:szCs w:val="20"/>
          <w:lang w:val="en-GB" w:eastAsia="en-US"/>
        </w:rPr>
      </w:pPr>
      <w:r>
        <w:rPr>
          <w:b/>
          <w:sz w:val="20"/>
          <w:szCs w:val="20"/>
          <w:lang w:val="en-GB" w:eastAsia="en-US"/>
        </w:rPr>
        <w:t>Document for:</w:t>
      </w:r>
      <w:r>
        <w:rPr>
          <w:b/>
          <w:sz w:val="20"/>
          <w:szCs w:val="20"/>
          <w:lang w:val="en-GB" w:eastAsia="en-US"/>
        </w:rPr>
        <w:tab/>
      </w:r>
      <w:r>
        <w:rPr>
          <w:b/>
          <w:sz w:val="20"/>
          <w:szCs w:val="20"/>
          <w:lang w:val="en-GB" w:eastAsia="en-US"/>
        </w:rPr>
        <w:t xml:space="preserve">Discussion, Decision </w:t>
      </w:r>
    </w:p>
    <w:p>
      <w:pPr>
        <w:pStyle w:val="2"/>
        <w:rPr>
          <w:rFonts w:cs="Arial"/>
          <w:sz w:val="32"/>
          <w:szCs w:val="32"/>
        </w:rPr>
      </w:pPr>
      <w:r>
        <w:rPr>
          <w:rFonts w:cs="Arial"/>
          <w:sz w:val="32"/>
          <w:szCs w:val="32"/>
        </w:rPr>
        <w:t>Introduction</w:t>
      </w:r>
    </w:p>
    <w:p>
      <w:pPr>
        <w:suppressAutoHyphens/>
        <w:adjustRightInd/>
        <w:spacing w:before="120"/>
        <w:rPr>
          <w:rFonts w:hint="default"/>
          <w:lang w:val="en-US"/>
        </w:rPr>
      </w:pPr>
      <w:r>
        <w:rPr>
          <w:rFonts w:eastAsiaTheme="minorEastAsia"/>
          <w:bCs/>
        </w:rPr>
        <w:t xml:space="preserve">In </w:t>
      </w:r>
      <w:r>
        <w:rPr>
          <w:rFonts w:hint="default" w:eastAsiaTheme="minorEastAsia"/>
          <w:bCs/>
          <w:lang w:val="en-US"/>
        </w:rPr>
        <w:t>last RAN2</w:t>
      </w:r>
      <w:r>
        <w:rPr>
          <w:rFonts w:eastAsiaTheme="minorEastAsia"/>
          <w:bCs/>
        </w:rPr>
        <w:t xml:space="preserve"> meeting, </w:t>
      </w:r>
      <w:r>
        <w:rPr>
          <w:rFonts w:hint="eastAsia" w:cs="Arial" w:eastAsiaTheme="minorEastAsia"/>
          <w:bCs/>
        </w:rPr>
        <w:t>there were some discussions</w:t>
      </w:r>
      <w:r>
        <w:rPr>
          <w:rFonts w:cs="Arial" w:eastAsiaTheme="minorEastAsia"/>
          <w:bCs/>
        </w:rPr>
        <w:t xml:space="preserve"> about </w:t>
      </w:r>
      <w:r>
        <w:rPr>
          <w:rFonts w:hint="default" w:cs="Arial" w:eastAsiaTheme="minorEastAsia"/>
          <w:bCs/>
          <w:lang w:val="en-US"/>
        </w:rPr>
        <w:t>PCI unchanged</w:t>
      </w:r>
      <w:r>
        <w:rPr>
          <w:rFonts w:cs="Arial" w:eastAsiaTheme="minorEastAsia"/>
          <w:bCs/>
        </w:rPr>
        <w:t xml:space="preserve"> and some agreements were achieved as follows</w:t>
      </w:r>
      <w:r>
        <w:rPr>
          <w:rFonts w:hint="default" w:cs="Arial" w:eastAsiaTheme="minorEastAsia"/>
          <w:bCs/>
          <w:lang w:val="en-US"/>
        </w:rPr>
        <w:t xml:space="preserve"> [1]</w:t>
      </w:r>
      <w:r>
        <w:rPr>
          <w:rFonts w:cs="Arial" w:eastAsiaTheme="minorEastAsia"/>
          <w:bCs/>
        </w:rPr>
        <w:t>:</w:t>
      </w:r>
      <w:r>
        <w:rPr>
          <w:rFonts w:hint="default" w:cs="Arial" w:eastAsiaTheme="minorEastAsia"/>
          <w:bCs/>
          <w:lang w:val="en-US"/>
        </w:rPr>
        <w:t xml:space="preserve"> </w:t>
      </w:r>
    </w:p>
    <w:p>
      <w:pPr>
        <w:pStyle w:val="6"/>
        <w:pBdr>
          <w:top w:val="single" w:color="auto" w:sz="4" w:space="1"/>
          <w:left w:val="single" w:color="auto" w:sz="4" w:space="4"/>
          <w:bottom w:val="single" w:color="auto" w:sz="4" w:space="1"/>
          <w:right w:val="single" w:color="auto" w:sz="4" w:space="4"/>
        </w:pBdr>
      </w:pPr>
      <w:r>
        <w:t xml:space="preserve">Working Assumption: </w:t>
      </w:r>
    </w:p>
    <w:p>
      <w:pPr>
        <w:pStyle w:val="6"/>
        <w:numPr>
          <w:ilvl w:val="0"/>
          <w:numId w:val="11"/>
        </w:numPr>
        <w:pBdr>
          <w:top w:val="single" w:color="auto" w:sz="4" w:space="1"/>
          <w:left w:val="single" w:color="auto" w:sz="4" w:space="4"/>
          <w:bottom w:val="single" w:color="auto" w:sz="4" w:space="1"/>
          <w:right w:val="single" w:color="auto" w:sz="4" w:space="4"/>
        </w:pBdr>
      </w:pPr>
      <w:r>
        <w:t xml:space="preserve">In quasi-earth fixed cell case, for hard satellite switch in the same SSB frequency and same gNB (no key change), satellite switching without PCI changing (not requiring L3 mobility) is supported. </w:t>
      </w:r>
    </w:p>
    <w:p>
      <w:pPr>
        <w:suppressAutoHyphens/>
        <w:adjustRightInd/>
        <w:spacing w:before="120"/>
        <w:rPr>
          <w:rFonts w:hint="default" w:eastAsiaTheme="minorEastAsia"/>
          <w:lang w:val="en-US"/>
        </w:rPr>
      </w:pPr>
      <w:r>
        <w:rPr>
          <w:rFonts w:cs="Arial" w:eastAsiaTheme="minorEastAsia"/>
        </w:rPr>
        <w:t>Then i</w:t>
      </w:r>
      <w:r>
        <w:rPr>
          <w:rFonts w:cs="Arial"/>
        </w:rPr>
        <w:t xml:space="preserve">n this contribution, we would like to provide </w:t>
      </w:r>
      <w:r>
        <w:rPr>
          <w:rFonts w:hint="eastAsia" w:eastAsia="宋体" w:cs="Arial"/>
        </w:rPr>
        <w:t xml:space="preserve">our </w:t>
      </w:r>
      <w:r>
        <w:rPr>
          <w:rFonts w:hint="default" w:eastAsia="宋体" w:cs="Arial"/>
          <w:lang w:val="en-US"/>
        </w:rPr>
        <w:t xml:space="preserve">further </w:t>
      </w:r>
      <w:r>
        <w:rPr>
          <w:rFonts w:hint="eastAsia" w:eastAsia="宋体" w:cs="Arial"/>
        </w:rPr>
        <w:t xml:space="preserve">considerations on </w:t>
      </w:r>
      <w:r>
        <w:rPr>
          <w:rFonts w:hint="default" w:cs="Arial" w:eastAsiaTheme="minorEastAsia"/>
          <w:lang w:val="en-US"/>
        </w:rPr>
        <w:t>PCI unchanged about issues clarification, implementation and handover scope declaration aspects.</w:t>
      </w:r>
    </w:p>
    <w:p>
      <w:pPr>
        <w:pStyle w:val="2"/>
        <w:rPr>
          <w:rFonts w:cs="Arial"/>
          <w:sz w:val="32"/>
          <w:szCs w:val="32"/>
        </w:rPr>
      </w:pPr>
      <w:r>
        <w:rPr>
          <w:rFonts w:cs="Arial"/>
          <w:sz w:val="32"/>
          <w:szCs w:val="32"/>
        </w:rPr>
        <w:t>Discussion</w:t>
      </w:r>
    </w:p>
    <w:p>
      <w:pPr>
        <w:pStyle w:val="60"/>
        <w:keepNext w:val="0"/>
        <w:keepLines w:val="0"/>
        <w:pageBreakBefore w:val="0"/>
        <w:widowControl/>
        <w:kinsoku/>
        <w:wordWrap/>
        <w:overflowPunct w:val="0"/>
        <w:topLinePunct w:val="0"/>
        <w:autoSpaceDE w:val="0"/>
        <w:autoSpaceDN w:val="0"/>
        <w:bidi w:val="0"/>
        <w:adjustRightInd w:val="0"/>
        <w:snapToGrid/>
        <w:spacing w:after="180"/>
        <w:ind w:left="0" w:firstLine="0"/>
        <w:textAlignment w:val="baseline"/>
        <w:outlineLvl w:val="1"/>
        <w:rPr>
          <w:rFonts w:hint="default"/>
          <w:b/>
          <w:bCs/>
          <w:sz w:val="28"/>
          <w:szCs w:val="28"/>
          <w:u w:val="single"/>
          <w:lang w:val="en-US"/>
        </w:rPr>
      </w:pPr>
      <w:bookmarkStart w:id="2" w:name="_Hlk41985036"/>
      <w:r>
        <w:rPr>
          <w:rFonts w:hint="default"/>
          <w:b/>
          <w:bCs/>
          <w:sz w:val="28"/>
          <w:szCs w:val="28"/>
          <w:u w:val="single"/>
          <w:lang w:val="en-US"/>
        </w:rPr>
        <w:t xml:space="preserve">2.1.1 Issues clarification for </w:t>
      </w:r>
      <w:r>
        <w:rPr>
          <w:b/>
          <w:bCs/>
          <w:sz w:val="28"/>
          <w:szCs w:val="28"/>
          <w:u w:val="single"/>
        </w:rPr>
        <w:t>hard satellite switch</w:t>
      </w:r>
      <w:r>
        <w:rPr>
          <w:rFonts w:hint="default"/>
          <w:b/>
          <w:bCs/>
          <w:sz w:val="28"/>
          <w:szCs w:val="28"/>
          <w:u w:val="single"/>
          <w:lang w:val="en-US"/>
        </w:rPr>
        <w:t xml:space="preserve"> in </w:t>
      </w:r>
      <w:r>
        <w:rPr>
          <w:b/>
          <w:bCs/>
          <w:sz w:val="28"/>
          <w:szCs w:val="28"/>
          <w:u w:val="single"/>
        </w:rPr>
        <w:t>quasi-earth fixed cell</w:t>
      </w:r>
    </w:p>
    <w:p>
      <w:pPr>
        <w:pStyle w:val="60"/>
        <w:spacing w:after="0"/>
        <w:ind w:left="0" w:firstLine="0"/>
        <w:rPr>
          <w:rFonts w:hint="default"/>
          <w:lang w:val="en-US"/>
        </w:rPr>
      </w:pPr>
      <w:r>
        <w:rPr>
          <w:rFonts w:hint="default" w:eastAsiaTheme="minorEastAsia"/>
          <w:bCs/>
          <w:lang w:val="en-US" w:eastAsia="zh-CN"/>
        </w:rPr>
        <w:t xml:space="preserve">In last meeting, we have mainly discussed PCI unchanged for </w:t>
      </w:r>
      <w:r>
        <w:t>hard satellite switch</w:t>
      </w:r>
      <w:r>
        <w:rPr>
          <w:rFonts w:hint="default"/>
          <w:lang w:val="en-US"/>
        </w:rPr>
        <w:t xml:space="preserve"> in </w:t>
      </w:r>
      <w:r>
        <w:t>quasi-earth fixed cell case</w:t>
      </w:r>
      <w:r>
        <w:rPr>
          <w:rFonts w:hint="default"/>
          <w:lang w:val="en-US"/>
        </w:rPr>
        <w:t>. Some opponents raise issues such as that</w:t>
      </w:r>
      <w:r>
        <w:t xml:space="preserve"> different satellites might have different coverage</w:t>
      </w:r>
      <w:r>
        <w:rPr>
          <w:rFonts w:hint="default"/>
          <w:lang w:val="en-US"/>
        </w:rPr>
        <w:t xml:space="preserve">, </w:t>
      </w:r>
      <w:r>
        <w:t>there would be RAN1 impacts</w:t>
      </w:r>
      <w:r>
        <w:rPr>
          <w:rFonts w:hint="default"/>
          <w:lang w:val="en-US"/>
        </w:rPr>
        <w:t xml:space="preserve">, it is </w:t>
      </w:r>
      <w:r>
        <w:t>introducing a new scenario (hard service link switch) we did not consider before</w:t>
      </w:r>
      <w:r>
        <w:rPr>
          <w:rFonts w:hint="default"/>
          <w:lang w:val="en-US"/>
        </w:rPr>
        <w:t xml:space="preserve"> and in case of hard switch there would always be interruption. </w:t>
      </w:r>
    </w:p>
    <w:p>
      <w:pPr>
        <w:pStyle w:val="60"/>
        <w:spacing w:after="0"/>
        <w:ind w:left="0" w:firstLine="0"/>
        <w:rPr>
          <w:rFonts w:eastAsiaTheme="minorEastAsia"/>
          <w:lang w:eastAsia="zh-CN"/>
        </w:rPr>
      </w:pPr>
      <w:r>
        <w:rPr>
          <w:rFonts w:hint="default"/>
          <w:lang w:val="en-US"/>
        </w:rPr>
        <w:t xml:space="preserve">And we would like to make clarification to the issues, firstly, even if different satellites do have different coverage, it still could work well due to that different satellites connection to same gNB will always have a wide range of intersection. Then, we just see there may be some RAN1 impacts for soft satellite switch, while some resolutions have been provide among contributions, for example, use MIMO for reception of multiple beams, providing NCD-SSB, and </w:t>
      </w:r>
      <w:r>
        <w:rPr>
          <w:bCs/>
        </w:rPr>
        <w:t xml:space="preserve">by </w:t>
      </w:r>
      <w:r>
        <w:rPr>
          <w:rFonts w:hint="eastAsia" w:eastAsia="宋体"/>
          <w:bCs/>
          <w:lang w:val="en-US" w:eastAsia="zh-CN"/>
        </w:rPr>
        <w:t>gNB implementation</w:t>
      </w:r>
      <w:r>
        <w:rPr>
          <w:rFonts w:hint="default" w:eastAsia="宋体"/>
          <w:bCs/>
          <w:lang w:val="en-US" w:eastAsia="zh-CN"/>
        </w:rPr>
        <w:t xml:space="preserve">, etc. Therefore we just need to check with RAN1 about the feasibility of the soft switching case if necessary. Thirdly, both </w:t>
      </w:r>
      <w:r>
        <w:t>hard service link switch</w:t>
      </w:r>
      <w:r>
        <w:rPr>
          <w:rFonts w:hint="default"/>
          <w:lang w:val="en-US"/>
        </w:rPr>
        <w:t xml:space="preserve"> and soft </w:t>
      </w:r>
      <w:r>
        <w:t>service link switch</w:t>
      </w:r>
      <w:r>
        <w:rPr>
          <w:rFonts w:hint="default"/>
          <w:lang w:val="en-US"/>
        </w:rPr>
        <w:t xml:space="preserve"> are not </w:t>
      </w:r>
      <w:r>
        <w:t>new scenario</w:t>
      </w:r>
      <w:r>
        <w:rPr>
          <w:rFonts w:hint="default"/>
          <w:lang w:val="en-US"/>
        </w:rPr>
        <w:t>s, which are already existing NTN deployment cases. Finally, for the interruption, it needs to be clarified that</w:t>
      </w:r>
      <w:r>
        <w:rPr>
          <w:rFonts w:eastAsiaTheme="minorEastAsia"/>
          <w:lang w:eastAsia="zh-CN"/>
        </w:rPr>
        <w:t xml:space="preserve"> this issue is not introduced by PCI unchanging, and with the network assistance information (e.g. ephemeris), it could be alleviated and </w:t>
      </w:r>
      <w:r>
        <w:rPr>
          <w:rFonts w:hint="eastAsia" w:eastAsiaTheme="minorEastAsia"/>
          <w:lang w:eastAsia="zh-CN"/>
        </w:rPr>
        <w:t>ignored</w:t>
      </w:r>
      <w:r>
        <w:rPr>
          <w:rFonts w:eastAsiaTheme="minorEastAsia"/>
          <w:lang w:eastAsia="zh-CN"/>
        </w:rPr>
        <w:t>.</w:t>
      </w:r>
    </w:p>
    <w:p>
      <w:pPr>
        <w:pStyle w:val="60"/>
        <w:spacing w:after="0"/>
        <w:ind w:left="0" w:firstLine="0"/>
        <w:rPr>
          <w:rFonts w:hint="default" w:eastAsiaTheme="minorEastAsia"/>
          <w:b/>
          <w:bCs/>
          <w:lang w:val="en-US" w:eastAsia="zh-CN"/>
        </w:rPr>
      </w:pPr>
      <w:r>
        <w:rPr>
          <w:rFonts w:eastAsiaTheme="minorEastAsia"/>
          <w:b/>
          <w:bCs/>
          <w:lang w:eastAsia="zh-CN"/>
        </w:rPr>
        <w:t xml:space="preserve">Observation </w:t>
      </w:r>
      <w:r>
        <w:rPr>
          <w:rFonts w:hint="default" w:eastAsiaTheme="minorEastAsia"/>
          <w:b/>
          <w:bCs/>
          <w:lang w:val="en-US" w:eastAsia="zh-CN"/>
        </w:rPr>
        <w:t>1</w:t>
      </w:r>
      <w:r>
        <w:rPr>
          <w:rFonts w:eastAsiaTheme="minorEastAsia"/>
          <w:b/>
          <w:bCs/>
          <w:lang w:eastAsia="zh-CN"/>
        </w:rPr>
        <w:t>:</w:t>
      </w:r>
      <w:r>
        <w:rPr>
          <w:rFonts w:hint="default" w:eastAsiaTheme="minorEastAsia"/>
          <w:b/>
          <w:bCs/>
          <w:lang w:val="en-US" w:eastAsia="zh-CN"/>
        </w:rPr>
        <w:t xml:space="preserve"> Even if different satellites do have different coverage, it still could work well due to that different satellites connection to same gNB will always have a wide range of intersection.</w:t>
      </w:r>
    </w:p>
    <w:p>
      <w:pPr>
        <w:pStyle w:val="60"/>
        <w:spacing w:after="0"/>
        <w:ind w:left="0" w:firstLine="0"/>
        <w:rPr>
          <w:rFonts w:hint="default" w:eastAsiaTheme="minorEastAsia"/>
          <w:b/>
          <w:bCs/>
          <w:lang w:val="en-US" w:eastAsia="zh-CN"/>
        </w:rPr>
      </w:pPr>
      <w:r>
        <w:rPr>
          <w:rFonts w:eastAsiaTheme="minorEastAsia"/>
          <w:b/>
          <w:bCs/>
          <w:lang w:eastAsia="zh-CN"/>
        </w:rPr>
        <w:t xml:space="preserve">Observation </w:t>
      </w:r>
      <w:r>
        <w:rPr>
          <w:rFonts w:hint="default" w:eastAsiaTheme="minorEastAsia"/>
          <w:b/>
          <w:bCs/>
          <w:lang w:val="en-US" w:eastAsia="zh-CN"/>
        </w:rPr>
        <w:t>2</w:t>
      </w:r>
      <w:r>
        <w:rPr>
          <w:rFonts w:eastAsiaTheme="minorEastAsia"/>
          <w:b/>
          <w:bCs/>
          <w:lang w:eastAsia="zh-CN"/>
        </w:rPr>
        <w:t>:</w:t>
      </w:r>
      <w:r>
        <w:rPr>
          <w:rFonts w:hint="default" w:eastAsiaTheme="minorEastAsia"/>
          <w:b/>
          <w:bCs/>
          <w:lang w:val="en-US" w:eastAsia="zh-CN"/>
        </w:rPr>
        <w:t xml:space="preserve"> There may be some RAN1 impacts only for soft satellite switch, while some resolutions have been provide among contributions, for example, use MIMO for reception of multiple beams, providing NCD-SSB, and by gNB implementation, etc.</w:t>
      </w:r>
    </w:p>
    <w:p>
      <w:pPr>
        <w:pStyle w:val="60"/>
        <w:spacing w:after="0"/>
        <w:ind w:left="0" w:firstLine="0"/>
        <w:rPr>
          <w:rFonts w:hint="default" w:eastAsiaTheme="minorEastAsia"/>
          <w:b/>
          <w:bCs/>
          <w:lang w:val="en-US" w:eastAsia="zh-CN"/>
        </w:rPr>
      </w:pPr>
      <w:r>
        <w:rPr>
          <w:rFonts w:eastAsiaTheme="minorEastAsia"/>
          <w:b/>
          <w:bCs/>
          <w:lang w:eastAsia="zh-CN"/>
        </w:rPr>
        <w:t xml:space="preserve">Observation </w:t>
      </w:r>
      <w:r>
        <w:rPr>
          <w:rFonts w:hint="default" w:eastAsiaTheme="minorEastAsia"/>
          <w:b/>
          <w:bCs/>
          <w:lang w:val="en-US" w:eastAsia="zh-CN"/>
        </w:rPr>
        <w:t>3</w:t>
      </w:r>
      <w:r>
        <w:rPr>
          <w:rFonts w:eastAsiaTheme="minorEastAsia"/>
          <w:b/>
          <w:bCs/>
          <w:lang w:eastAsia="zh-CN"/>
        </w:rPr>
        <w:t>:</w:t>
      </w:r>
      <w:r>
        <w:rPr>
          <w:rFonts w:hint="default" w:eastAsiaTheme="minorEastAsia"/>
          <w:b/>
          <w:bCs/>
          <w:lang w:val="en-US" w:eastAsia="zh-CN"/>
        </w:rPr>
        <w:t xml:space="preserve"> Both hard service link switch and soft service link switch are not new scenarios, which are already existing NTN deployment cases.</w:t>
      </w:r>
    </w:p>
    <w:p>
      <w:pPr>
        <w:pStyle w:val="60"/>
        <w:spacing w:after="0"/>
        <w:ind w:left="0" w:firstLine="0"/>
        <w:rPr>
          <w:rFonts w:hint="default" w:eastAsiaTheme="minorEastAsia"/>
          <w:b/>
          <w:bCs/>
          <w:lang w:val="en-US" w:eastAsia="zh-CN"/>
        </w:rPr>
      </w:pPr>
      <w:r>
        <w:rPr>
          <w:rFonts w:eastAsiaTheme="minorEastAsia"/>
          <w:b/>
          <w:bCs/>
          <w:lang w:eastAsia="zh-CN"/>
        </w:rPr>
        <w:t xml:space="preserve">Observation </w:t>
      </w:r>
      <w:r>
        <w:rPr>
          <w:rFonts w:hint="default" w:eastAsiaTheme="minorEastAsia"/>
          <w:b/>
          <w:bCs/>
          <w:lang w:val="en-US" w:eastAsia="zh-CN"/>
        </w:rPr>
        <w:t>4</w:t>
      </w:r>
      <w:r>
        <w:rPr>
          <w:rFonts w:eastAsiaTheme="minorEastAsia"/>
          <w:b/>
          <w:bCs/>
          <w:lang w:eastAsia="zh-CN"/>
        </w:rPr>
        <w:t>:</w:t>
      </w:r>
      <w:r>
        <w:rPr>
          <w:rFonts w:hint="default" w:eastAsiaTheme="minorEastAsia"/>
          <w:b/>
          <w:bCs/>
          <w:lang w:val="en-US" w:eastAsia="zh-CN"/>
        </w:rPr>
        <w:t xml:space="preserve"> For the interruption, it needs to be clarified that this issue is not introduced by PCI unchanging, and with the network assistance information (e.g. ephemeris), it could be alleviated and ignored.</w:t>
      </w:r>
    </w:p>
    <w:p>
      <w:pPr>
        <w:pStyle w:val="60"/>
        <w:keepNext w:val="0"/>
        <w:keepLines w:val="0"/>
        <w:pageBreakBefore w:val="0"/>
        <w:widowControl/>
        <w:kinsoku/>
        <w:wordWrap/>
        <w:overflowPunct w:val="0"/>
        <w:topLinePunct w:val="0"/>
        <w:autoSpaceDE w:val="0"/>
        <w:autoSpaceDN w:val="0"/>
        <w:bidi w:val="0"/>
        <w:adjustRightInd w:val="0"/>
        <w:snapToGrid/>
        <w:spacing w:before="360" w:after="180"/>
        <w:ind w:left="0" w:firstLine="0"/>
        <w:textAlignment w:val="baseline"/>
        <w:outlineLvl w:val="1"/>
        <w:rPr>
          <w:rFonts w:hint="default" w:eastAsiaTheme="minorEastAsia"/>
          <w:sz w:val="28"/>
          <w:szCs w:val="28"/>
          <w:lang w:val="en-US" w:eastAsia="zh-CN"/>
        </w:rPr>
      </w:pPr>
      <w:r>
        <w:rPr>
          <w:rFonts w:hint="default"/>
          <w:b/>
          <w:bCs/>
          <w:sz w:val="28"/>
          <w:szCs w:val="28"/>
          <w:u w:val="single"/>
          <w:lang w:val="en-US"/>
        </w:rPr>
        <w:t>2.1.2 PCI unchanging implementation</w:t>
      </w:r>
    </w:p>
    <w:p>
      <w:pPr>
        <w:pStyle w:val="60"/>
        <w:spacing w:after="0"/>
        <w:ind w:left="0" w:firstLine="0"/>
        <w:rPr>
          <w:rFonts w:hint="default"/>
          <w:lang w:val="en-US"/>
        </w:rPr>
      </w:pPr>
      <w:r>
        <w:rPr>
          <w:rFonts w:hint="default"/>
          <w:lang w:val="en-US"/>
        </w:rPr>
        <w:t xml:space="preserve">Further </w:t>
      </w:r>
      <w:r>
        <w:rPr>
          <w:rFonts w:eastAsiaTheme="minorEastAsia"/>
          <w:lang w:eastAsia="zh-CN"/>
        </w:rPr>
        <w:t>for hard satellite switching</w:t>
      </w:r>
      <w:r>
        <w:rPr>
          <w:rFonts w:hint="default" w:eastAsiaTheme="minorEastAsia"/>
          <w:lang w:val="en-US" w:eastAsia="zh-CN"/>
        </w:rPr>
        <w:t xml:space="preserve"> in </w:t>
      </w:r>
      <w:r>
        <w:t>quasi-earth fixed cell</w:t>
      </w:r>
      <w:r>
        <w:rPr>
          <w:rFonts w:eastAsiaTheme="minorEastAsia"/>
          <w:lang w:eastAsia="zh-CN"/>
        </w:rPr>
        <w:t xml:space="preserve">, one PCI </w:t>
      </w:r>
      <w:r>
        <w:rPr>
          <w:rFonts w:hint="eastAsia" w:eastAsiaTheme="minorEastAsia"/>
          <w:lang w:eastAsia="zh-CN"/>
        </w:rPr>
        <w:t>associat</w:t>
      </w:r>
      <w:r>
        <w:rPr>
          <w:rFonts w:eastAsiaTheme="minorEastAsia"/>
          <w:lang w:eastAsia="zh-CN"/>
        </w:rPr>
        <w:t>e</w:t>
      </w:r>
      <w:r>
        <w:rPr>
          <w:rFonts w:hint="eastAsia" w:eastAsiaTheme="minorEastAsia"/>
          <w:lang w:eastAsia="zh-CN"/>
        </w:rPr>
        <w:t xml:space="preserve">s </w:t>
      </w:r>
      <w:r>
        <w:rPr>
          <w:rFonts w:eastAsiaTheme="minorEastAsia"/>
          <w:lang w:eastAsia="zh-CN"/>
        </w:rPr>
        <w:t xml:space="preserve">to only one </w:t>
      </w:r>
      <w:r>
        <w:rPr>
          <w:rFonts w:hint="eastAsia" w:eastAsiaTheme="minorEastAsia"/>
          <w:lang w:eastAsia="zh-CN"/>
        </w:rPr>
        <w:t xml:space="preserve">single </w:t>
      </w:r>
      <w:r>
        <w:rPr>
          <w:rFonts w:eastAsiaTheme="minorEastAsia"/>
          <w:lang w:eastAsia="zh-CN"/>
        </w:rPr>
        <w:t xml:space="preserve">satellite at the same time, which can avoid the issue of PCI confusion and interference. </w:t>
      </w:r>
      <w:r>
        <w:rPr>
          <w:rFonts w:hint="default"/>
          <w:lang w:val="en-US"/>
        </w:rPr>
        <w:t>And</w:t>
      </w:r>
      <w:r>
        <w:rPr>
          <w:rFonts w:hint="eastAsia"/>
        </w:rPr>
        <w:t xml:space="preserve"> in current transparent payload, only </w:t>
      </w:r>
      <w:r>
        <w:t>Radio Frequency filtering, Frequency conversion and amplification</w:t>
      </w:r>
      <w:r>
        <w:rPr>
          <w:rFonts w:hint="eastAsia" w:eastAsia="宋体"/>
        </w:rPr>
        <w:t xml:space="preserve"> </w:t>
      </w:r>
      <w:r>
        <w:rPr>
          <w:rFonts w:eastAsia="宋体"/>
        </w:rPr>
        <w:t xml:space="preserve">are </w:t>
      </w:r>
      <w:r>
        <w:rPr>
          <w:rFonts w:hint="eastAsia" w:eastAsia="宋体"/>
        </w:rPr>
        <w:t xml:space="preserve">located in the satellite, </w:t>
      </w:r>
      <w:r>
        <w:rPr>
          <w:rFonts w:hint="eastAsia"/>
        </w:rPr>
        <w:t xml:space="preserve">while the part of PHY (including SSB generation, </w:t>
      </w:r>
      <w:r>
        <w:t>demodulation/decoding, switch and/or routing, coding/modulation</w:t>
      </w:r>
      <w:r>
        <w:rPr>
          <w:rFonts w:hint="eastAsia"/>
        </w:rPr>
        <w:t xml:space="preserve">), MAC, RLC, PDCP, SDAP and RRC all located in the terrestrial gNB equipped in the </w:t>
      </w:r>
      <w:r>
        <w:rPr>
          <w:rFonts w:hint="default"/>
          <w:lang w:val="en-US"/>
        </w:rPr>
        <w:t>gateway</w:t>
      </w:r>
      <w:r>
        <w:rPr>
          <w:rFonts w:hint="eastAsia"/>
        </w:rPr>
        <w:t xml:space="preserve"> which is fixed during the service link switching. Hence, it seems </w:t>
      </w:r>
      <w:r>
        <w:t xml:space="preserve">just </w:t>
      </w:r>
      <w:r>
        <w:rPr>
          <w:bCs/>
        </w:rPr>
        <w:t xml:space="preserve">some system information needs update </w:t>
      </w:r>
      <w:r>
        <w:rPr>
          <w:rFonts w:hint="eastAsia"/>
          <w:bCs/>
        </w:rPr>
        <w:t>if needed, for example, there are some differences of hardware between two adjacent satellite, or some antenna configuration needs to be updated</w:t>
      </w:r>
      <w:r>
        <w:rPr>
          <w:bCs/>
        </w:rPr>
        <w:t xml:space="preserve">. Especially for quasi-earth fixed cell case, one satellite provide service to the same area until out of coverage, keeping same PCI after satellite switching is easy to perform. And with the updated system information, UE could </w:t>
      </w:r>
      <w:r>
        <w:t>implement UL synchronization based on NW assistance information and its own location information without handover.</w:t>
      </w:r>
      <w:r>
        <w:rPr>
          <w:rFonts w:hint="default"/>
          <w:lang w:val="en-US"/>
        </w:rPr>
        <w:t xml:space="preserve"> </w:t>
      </w:r>
    </w:p>
    <w:p>
      <w:pPr>
        <w:pStyle w:val="60"/>
        <w:spacing w:after="0"/>
        <w:ind w:left="0" w:firstLine="0"/>
        <w:rPr>
          <w:rFonts w:hint="default"/>
          <w:lang w:val="en-US"/>
        </w:rPr>
      </w:pPr>
      <w:r>
        <w:rPr>
          <w:rFonts w:eastAsiaTheme="minorEastAsia"/>
          <w:b/>
          <w:bCs/>
          <w:lang w:eastAsia="zh-CN"/>
        </w:rPr>
        <w:t xml:space="preserve">Observation </w:t>
      </w:r>
      <w:r>
        <w:rPr>
          <w:rFonts w:hint="default" w:eastAsiaTheme="minorEastAsia"/>
          <w:b/>
          <w:bCs/>
          <w:lang w:val="en-US" w:eastAsia="zh-CN"/>
        </w:rPr>
        <w:t>5</w:t>
      </w:r>
      <w:r>
        <w:rPr>
          <w:rFonts w:eastAsiaTheme="minorEastAsia"/>
          <w:b/>
          <w:bCs/>
          <w:lang w:eastAsia="zh-CN"/>
        </w:rPr>
        <w:t>:</w:t>
      </w:r>
      <w:r>
        <w:rPr>
          <w:rFonts w:hint="default" w:eastAsiaTheme="minorEastAsia"/>
          <w:b/>
          <w:bCs/>
          <w:lang w:val="en-US" w:eastAsia="zh-CN"/>
        </w:rPr>
        <w:t xml:space="preserve"> With the updated system information, UE could implement UL synchronization based on NW assistance information and its own location information without handover. </w:t>
      </w:r>
    </w:p>
    <w:p>
      <w:pPr>
        <w:pStyle w:val="60"/>
        <w:keepNext w:val="0"/>
        <w:keepLines w:val="0"/>
        <w:pageBreakBefore w:val="0"/>
        <w:widowControl/>
        <w:kinsoku/>
        <w:wordWrap/>
        <w:overflowPunct w:val="0"/>
        <w:topLinePunct w:val="0"/>
        <w:autoSpaceDE w:val="0"/>
        <w:autoSpaceDN w:val="0"/>
        <w:bidi w:val="0"/>
        <w:adjustRightInd w:val="0"/>
        <w:snapToGrid/>
        <w:spacing w:before="360" w:after="180"/>
        <w:ind w:left="0" w:firstLine="0"/>
        <w:textAlignment w:val="baseline"/>
        <w:outlineLvl w:val="1"/>
        <w:rPr>
          <w:rFonts w:hint="default" w:eastAsiaTheme="minorEastAsia"/>
          <w:sz w:val="28"/>
          <w:szCs w:val="28"/>
          <w:lang w:val="en-US" w:eastAsia="zh-CN"/>
        </w:rPr>
      </w:pPr>
      <w:r>
        <w:rPr>
          <w:rFonts w:hint="default"/>
          <w:b/>
          <w:bCs/>
          <w:sz w:val="28"/>
          <w:szCs w:val="28"/>
          <w:u w:val="single"/>
          <w:lang w:val="en-US"/>
        </w:rPr>
        <w:t>2.1.3 Handover enhancements declaration for R18 NTN scope</w:t>
      </w:r>
    </w:p>
    <w:p>
      <w:pPr>
        <w:rPr>
          <w:rFonts w:eastAsiaTheme="minorEastAsia"/>
          <w:bCs/>
          <w:color w:val="auto"/>
          <w:lang w:eastAsia="zh-CN"/>
        </w:rPr>
      </w:pPr>
      <w:r>
        <w:rPr>
          <w:rFonts w:hint="default"/>
          <w:lang w:val="en-US"/>
        </w:rPr>
        <w:t xml:space="preserve">Last but not least, the R18 NTN WID scope about the handover enhancement part is to </w:t>
      </w:r>
      <w:r>
        <w:rPr>
          <w:rFonts w:hint="default"/>
          <w:i/>
          <w:iCs/>
          <w:lang w:val="en-US"/>
        </w:rPr>
        <w:t xml:space="preserve">specify NTN-NTN handover enhancement for RRC_CONNECTED UEs in the quasi-earth-fixed cell and earth-moving cell to reduce the signalling overhead. [RAN2, RAN3]  </w:t>
      </w:r>
      <w:r>
        <w:rPr>
          <w:rFonts w:hint="default"/>
          <w:i w:val="0"/>
          <w:iCs w:val="0"/>
          <w:lang w:val="en-US"/>
        </w:rPr>
        <w:t xml:space="preserve">And considering the </w:t>
      </w:r>
      <w:r>
        <w:rPr>
          <w:rFonts w:hint="eastAsia" w:eastAsiaTheme="minorEastAsia"/>
          <w:bCs/>
        </w:rPr>
        <w:t>critical issues</w:t>
      </w:r>
      <w:r>
        <w:rPr>
          <w:rFonts w:hint="default" w:eastAsiaTheme="minorEastAsia"/>
          <w:bCs/>
          <w:lang w:val="en-US"/>
        </w:rPr>
        <w:t xml:space="preserve"> in NTN system, </w:t>
      </w:r>
      <w:r>
        <w:rPr>
          <w:rFonts w:hint="default" w:eastAsiaTheme="minorEastAsia"/>
          <w:bCs/>
          <w:color w:val="auto"/>
          <w:lang w:val="en-US" w:eastAsia="zh-CN"/>
        </w:rPr>
        <w:t xml:space="preserve">partial UEs in a moving cell need to hand in or hand out with satellite movement(as shown in Fig.1) while all the UEs in a quasi-earth fixed cell will lose connectivity suddenly when the serving satellite can no longer serve the current area(as shown in Fig.2). Anyway, </w:t>
      </w:r>
      <w:r>
        <w:rPr>
          <w:rFonts w:eastAsiaTheme="minorEastAsia"/>
          <w:bCs/>
          <w:color w:val="auto"/>
          <w:lang w:eastAsia="zh-CN"/>
        </w:rPr>
        <w:t>there may be plenty of UEs need to hand over to a new cell in a short period of time</w:t>
      </w:r>
      <w:r>
        <w:rPr>
          <w:rFonts w:hint="default" w:eastAsiaTheme="minorEastAsia"/>
          <w:bCs/>
          <w:color w:val="auto"/>
          <w:lang w:val="en-US" w:eastAsia="zh-CN"/>
        </w:rPr>
        <w:t xml:space="preserve"> d</w:t>
      </w:r>
      <w:r>
        <w:rPr>
          <w:rFonts w:eastAsiaTheme="minorEastAsia"/>
          <w:bCs/>
          <w:color w:val="auto"/>
          <w:lang w:eastAsia="zh-CN"/>
        </w:rPr>
        <w:t>ue to the large coverage of satellites</w:t>
      </w:r>
      <w:r>
        <w:rPr>
          <w:rFonts w:hint="default" w:eastAsiaTheme="minorEastAsia"/>
          <w:bCs/>
          <w:color w:val="auto"/>
          <w:lang w:val="en-US" w:eastAsia="zh-CN"/>
        </w:rPr>
        <w:t xml:space="preserve">. </w:t>
      </w:r>
      <w:r>
        <w:rPr>
          <w:rFonts w:eastAsiaTheme="minorEastAsia"/>
          <w:bCs/>
          <w:color w:val="auto"/>
          <w:lang w:eastAsia="zh-CN"/>
        </w:rPr>
        <w:t xml:space="preserve">And if a large number of UEs accessing the same new cell(s) almost simultaneously, it </w:t>
      </w:r>
      <w:r>
        <w:rPr>
          <w:rFonts w:hint="default" w:eastAsiaTheme="minorEastAsia"/>
          <w:bCs/>
          <w:color w:val="auto"/>
          <w:lang w:val="en-US" w:eastAsia="zh-CN"/>
        </w:rPr>
        <w:t>will</w:t>
      </w:r>
      <w:r>
        <w:rPr>
          <w:rFonts w:eastAsiaTheme="minorEastAsia"/>
          <w:bCs/>
          <w:color w:val="auto"/>
          <w:lang w:eastAsia="zh-CN"/>
        </w:rPr>
        <w:t xml:space="preserve"> </w:t>
      </w:r>
      <w:r>
        <w:t xml:space="preserve">result in significant </w:t>
      </w:r>
      <w:r>
        <w:rPr>
          <w:rFonts w:hint="eastAsia" w:eastAsia="宋体"/>
        </w:rPr>
        <w:t>signaling</w:t>
      </w:r>
      <w:r>
        <w:t xml:space="preserve"> overhead</w:t>
      </w:r>
      <w:r>
        <w:rPr>
          <w:rFonts w:hint="eastAsia" w:eastAsia="宋体"/>
        </w:rPr>
        <w:t>,</w:t>
      </w:r>
      <w:r>
        <w:t xml:space="preserve"> power consumption, as well as</w:t>
      </w:r>
      <w:r>
        <w:rPr>
          <w:rFonts w:hint="eastAsia" w:eastAsia="宋体"/>
        </w:rPr>
        <w:t xml:space="preserve"> degrading the service performances caused by </w:t>
      </w:r>
      <w:r>
        <w:t xml:space="preserve">service interruption due to </w:t>
      </w:r>
      <w:r>
        <w:rPr>
          <w:rFonts w:hint="eastAsia" w:eastAsia="宋体"/>
        </w:rPr>
        <w:t>HO signaling</w:t>
      </w:r>
      <w:r>
        <w:t xml:space="preserve"> latency.</w:t>
      </w:r>
      <w:r>
        <w:rPr>
          <w:rFonts w:hint="default"/>
          <w:lang w:val="en-US"/>
        </w:rPr>
        <w:t xml:space="preserve"> Then w</w:t>
      </w:r>
      <w:r>
        <w:rPr>
          <w:rFonts w:eastAsiaTheme="minorEastAsia"/>
          <w:bCs/>
          <w:lang w:eastAsia="zh-CN"/>
        </w:rPr>
        <w:t>ith the PCI unchanging after satellites switching, it is beneficial for HO signaling reduction due to unchanged cell from UE perspective, and there are also many configurations of the previous satellite could be reused.</w:t>
      </w:r>
    </w:p>
    <w:p>
      <w:pPr>
        <w:pStyle w:val="60"/>
        <w:spacing w:after="0"/>
        <w:ind w:left="0" w:firstLine="0"/>
        <w:jc w:val="center"/>
        <w:rPr>
          <w:rFonts w:hint="default"/>
          <w:color w:val="auto"/>
          <w:lang w:val="en-US"/>
        </w:rPr>
      </w:pPr>
      <w:r>
        <w:rPr>
          <w:rFonts w:hint="default"/>
          <w:color w:val="auto"/>
          <w:lang w:val="en-US"/>
        </w:rPr>
        <w:object>
          <v:shape id="_x0000_i1025" o:spt="75" type="#_x0000_t75" style="height:179.7pt;width:481.65pt;" o:ole="t" filled="f" o:preferrelative="t" stroked="f" coordsize="21600,21600">
            <v:path/>
            <v:fill on="f" focussize="0,0"/>
            <v:stroke on="f"/>
            <v:imagedata r:id="rId8" o:title=""/>
            <o:lock v:ext="edit" aspectratio="f"/>
            <w10:wrap type="none"/>
            <w10:anchorlock/>
          </v:shape>
          <o:OLEObject Type="Embed" ProgID="Visio.Drawing.11" ShapeID="_x0000_i1025" DrawAspect="Content" ObjectID="_1468075725" r:id="rId7">
            <o:LockedField>false</o:LockedField>
          </o:OLEObject>
        </w:object>
      </w:r>
      <w:r>
        <w:rPr>
          <w:rFonts w:hint="default"/>
          <w:color w:val="auto"/>
          <w:lang w:val="en-US"/>
        </w:rPr>
        <w:t xml:space="preserve">     </w:t>
      </w:r>
    </w:p>
    <w:p>
      <w:pPr>
        <w:pStyle w:val="60"/>
        <w:spacing w:after="0"/>
        <w:ind w:left="0" w:firstLine="0"/>
        <w:jc w:val="center"/>
        <w:rPr>
          <w:rFonts w:hint="default"/>
          <w:color w:val="auto"/>
          <w:sz w:val="18"/>
          <w:szCs w:val="18"/>
          <w:lang w:val="en-US"/>
        </w:rPr>
      </w:pPr>
      <w:r>
        <w:rPr>
          <w:rFonts w:hint="default"/>
          <w:color w:val="auto"/>
          <w:sz w:val="18"/>
          <w:szCs w:val="18"/>
          <w:lang w:val="en-US"/>
        </w:rPr>
        <w:t xml:space="preserve">  </w:t>
      </w:r>
      <w:r>
        <w:rPr>
          <w:rFonts w:eastAsiaTheme="minorEastAsia"/>
          <w:bCs/>
          <w:color w:val="auto"/>
          <w:sz w:val="18"/>
          <w:szCs w:val="18"/>
          <w:lang w:eastAsia="zh-CN"/>
        </w:rPr>
        <w:t xml:space="preserve">Fig.1 </w:t>
      </w:r>
      <w:r>
        <w:rPr>
          <w:rFonts w:hint="default" w:eastAsiaTheme="minorEastAsia"/>
          <w:bCs/>
          <w:color w:val="auto"/>
          <w:sz w:val="18"/>
          <w:szCs w:val="18"/>
          <w:lang w:val="en-US" w:eastAsia="zh-CN"/>
        </w:rPr>
        <w:t>UEs transition</w:t>
      </w:r>
      <w:r>
        <w:rPr>
          <w:rFonts w:eastAsiaTheme="minorEastAsia"/>
          <w:bCs/>
          <w:color w:val="auto"/>
          <w:sz w:val="18"/>
          <w:szCs w:val="18"/>
          <w:lang w:eastAsia="zh-CN"/>
        </w:rPr>
        <w:t xml:space="preserve"> in </w:t>
      </w:r>
      <w:r>
        <w:rPr>
          <w:rFonts w:hint="default" w:eastAsiaTheme="minorEastAsia"/>
          <w:bCs/>
          <w:color w:val="auto"/>
          <w:sz w:val="18"/>
          <w:szCs w:val="18"/>
          <w:lang w:val="en-US" w:eastAsia="zh-CN"/>
        </w:rPr>
        <w:t>moving cell</w:t>
      </w:r>
    </w:p>
    <w:p>
      <w:pPr>
        <w:pStyle w:val="60"/>
        <w:spacing w:after="0"/>
        <w:ind w:left="0" w:firstLine="0"/>
        <w:jc w:val="center"/>
        <w:rPr>
          <w:color w:val="auto"/>
        </w:rPr>
      </w:pPr>
      <w:r>
        <w:rPr>
          <w:color w:val="auto"/>
        </w:rPr>
        <w:object>
          <v:shape id="_x0000_i1026" o:spt="75" type="#_x0000_t75" style="height:189.45pt;width:481.6pt;" o:ole="t" filled="f" o:preferrelative="t" stroked="f" coordsize="21600,21600">
            <v:path/>
            <v:fill on="f" focussize="0,0"/>
            <v:stroke on="f"/>
            <v:imagedata r:id="rId10" o:title=""/>
            <o:lock v:ext="edit" aspectratio="f"/>
            <w10:wrap type="none"/>
            <w10:anchorlock/>
          </v:shape>
          <o:OLEObject Type="Embed" ProgID="Visio.Drawing.11" ShapeID="_x0000_i1026" DrawAspect="Content" ObjectID="_1468075726" r:id="rId9">
            <o:LockedField>false</o:LockedField>
          </o:OLEObject>
        </w:object>
      </w:r>
    </w:p>
    <w:p>
      <w:pPr>
        <w:pStyle w:val="60"/>
        <w:spacing w:after="0"/>
        <w:ind w:left="0" w:firstLine="540" w:firstLineChars="300"/>
        <w:jc w:val="both"/>
        <w:rPr>
          <w:color w:val="auto"/>
          <w:sz w:val="18"/>
          <w:szCs w:val="18"/>
        </w:rPr>
      </w:pPr>
      <w:r>
        <w:rPr>
          <w:rFonts w:hint="default" w:eastAsiaTheme="minorEastAsia"/>
          <w:bCs/>
          <w:color w:val="auto"/>
          <w:sz w:val="18"/>
          <w:szCs w:val="18"/>
          <w:lang w:val="en-US" w:eastAsia="zh-CN"/>
        </w:rPr>
        <w:t xml:space="preserve">                        </w:t>
      </w:r>
      <w:r>
        <w:rPr>
          <w:rFonts w:eastAsiaTheme="minorEastAsia"/>
          <w:bCs/>
          <w:color w:val="auto"/>
          <w:sz w:val="18"/>
          <w:szCs w:val="18"/>
          <w:lang w:eastAsia="zh-CN"/>
        </w:rPr>
        <w:t>Fig.</w:t>
      </w:r>
      <w:r>
        <w:rPr>
          <w:rFonts w:hint="default" w:eastAsiaTheme="minorEastAsia"/>
          <w:bCs/>
          <w:color w:val="auto"/>
          <w:sz w:val="18"/>
          <w:szCs w:val="18"/>
          <w:lang w:val="en-US" w:eastAsia="zh-CN"/>
        </w:rPr>
        <w:t>2</w:t>
      </w:r>
      <w:r>
        <w:rPr>
          <w:rFonts w:eastAsiaTheme="minorEastAsia"/>
          <w:bCs/>
          <w:color w:val="auto"/>
          <w:sz w:val="18"/>
          <w:szCs w:val="18"/>
          <w:lang w:eastAsia="zh-CN"/>
        </w:rPr>
        <w:t xml:space="preserve"> </w:t>
      </w:r>
      <w:r>
        <w:rPr>
          <w:rFonts w:hint="default" w:eastAsiaTheme="minorEastAsia"/>
          <w:bCs/>
          <w:color w:val="auto"/>
          <w:sz w:val="18"/>
          <w:szCs w:val="18"/>
          <w:lang w:val="en-US" w:eastAsia="zh-CN"/>
        </w:rPr>
        <w:t>UEs transition</w:t>
      </w:r>
      <w:r>
        <w:rPr>
          <w:rFonts w:eastAsiaTheme="minorEastAsia"/>
          <w:bCs/>
          <w:color w:val="auto"/>
          <w:sz w:val="18"/>
          <w:szCs w:val="18"/>
          <w:lang w:eastAsia="zh-CN"/>
        </w:rPr>
        <w:t xml:space="preserve"> in </w:t>
      </w:r>
      <w:r>
        <w:rPr>
          <w:rFonts w:hint="default" w:eastAsiaTheme="minorEastAsia"/>
          <w:bCs/>
          <w:color w:val="auto"/>
          <w:sz w:val="18"/>
          <w:szCs w:val="18"/>
          <w:lang w:val="en-US" w:eastAsia="zh-CN"/>
        </w:rPr>
        <w:t>quasi-earth fixed cell</w:t>
      </w:r>
    </w:p>
    <w:p>
      <w:pPr>
        <w:rPr>
          <w:rFonts w:hint="default" w:eastAsiaTheme="minorEastAsia"/>
          <w:bCs/>
          <w:lang w:val="en-US" w:eastAsia="zh-CN"/>
        </w:rPr>
      </w:pPr>
      <w:r>
        <w:rPr>
          <w:rFonts w:hint="default" w:eastAsiaTheme="minorEastAsia"/>
          <w:bCs/>
          <w:lang w:val="en-US" w:eastAsia="zh-CN"/>
        </w:rPr>
        <w:t xml:space="preserve">Based on the above analysis about PCI unchanged, it is proposed that: </w:t>
      </w:r>
    </w:p>
    <w:p>
      <w:pPr>
        <w:pStyle w:val="60"/>
        <w:spacing w:after="0"/>
        <w:ind w:left="0" w:firstLine="0"/>
        <w:rPr>
          <w:rFonts w:hint="default" w:eastAsiaTheme="minorEastAsia"/>
          <w:b/>
          <w:bCs/>
          <w:color w:val="auto"/>
          <w:sz w:val="20"/>
          <w:szCs w:val="20"/>
          <w:lang w:val="en-US" w:eastAsia="zh-CN"/>
        </w:rPr>
      </w:pPr>
      <w:r>
        <w:rPr>
          <w:rFonts w:hint="eastAsia" w:eastAsiaTheme="minorEastAsia"/>
          <w:b/>
          <w:bCs/>
          <w:color w:val="auto"/>
          <w:sz w:val="20"/>
          <w:szCs w:val="20"/>
          <w:lang w:eastAsia="zh-CN"/>
        </w:rPr>
        <w:t>P</w:t>
      </w:r>
      <w:r>
        <w:rPr>
          <w:rFonts w:eastAsiaTheme="minorEastAsia"/>
          <w:b/>
          <w:bCs/>
          <w:color w:val="auto"/>
          <w:sz w:val="20"/>
          <w:szCs w:val="20"/>
          <w:lang w:eastAsia="zh-CN"/>
        </w:rPr>
        <w:t xml:space="preserve">roposal </w:t>
      </w:r>
      <w:r>
        <w:rPr>
          <w:rFonts w:hint="default" w:eastAsiaTheme="minorEastAsia"/>
          <w:b/>
          <w:bCs/>
          <w:color w:val="auto"/>
          <w:sz w:val="20"/>
          <w:szCs w:val="20"/>
          <w:lang w:val="en-US" w:eastAsia="zh-CN"/>
        </w:rPr>
        <w:t>1</w:t>
      </w:r>
      <w:r>
        <w:rPr>
          <w:rFonts w:eastAsiaTheme="minorEastAsia"/>
          <w:b/>
          <w:bCs/>
          <w:color w:val="auto"/>
          <w:sz w:val="20"/>
          <w:szCs w:val="20"/>
          <w:lang w:eastAsia="zh-CN"/>
        </w:rPr>
        <w:t xml:space="preserve">: </w:t>
      </w:r>
      <w:r>
        <w:rPr>
          <w:rFonts w:hint="default" w:eastAsiaTheme="minorEastAsia"/>
          <w:b/>
          <w:bCs/>
          <w:color w:val="auto"/>
          <w:sz w:val="20"/>
          <w:szCs w:val="20"/>
          <w:lang w:val="en-US" w:eastAsia="zh-CN"/>
        </w:rPr>
        <w:t>RAN2 to confirm the working assumption: In quasi-earth fixed cell case, for hard satellite switch in the same SSB frequency and same gNB (no key change), satellite switching without PCI changing (not requiring L3 mobility) is supported.</w:t>
      </w:r>
    </w:p>
    <w:p>
      <w:pPr>
        <w:pStyle w:val="60"/>
        <w:spacing w:after="0"/>
        <w:ind w:left="0" w:firstLine="0"/>
        <w:rPr>
          <w:rFonts w:hint="default" w:eastAsiaTheme="minorEastAsia"/>
          <w:b/>
          <w:bCs/>
          <w:color w:val="auto"/>
          <w:sz w:val="20"/>
          <w:szCs w:val="20"/>
          <w:lang w:val="en-US" w:eastAsia="zh-CN"/>
        </w:rPr>
      </w:pPr>
    </w:p>
    <w:p>
      <w:pPr>
        <w:pStyle w:val="60"/>
        <w:spacing w:after="0"/>
        <w:ind w:left="0" w:firstLine="0"/>
        <w:rPr>
          <w:rFonts w:hint="default" w:eastAsiaTheme="minorEastAsia"/>
          <w:b/>
          <w:bCs/>
          <w:color w:val="auto"/>
          <w:sz w:val="20"/>
          <w:szCs w:val="20"/>
          <w:lang w:val="en-US" w:eastAsia="zh-CN"/>
        </w:rPr>
      </w:pPr>
      <w:r>
        <w:rPr>
          <w:rFonts w:eastAsiaTheme="minorEastAsia"/>
          <w:b/>
          <w:bCs/>
          <w:lang w:eastAsia="zh-CN"/>
        </w:rPr>
        <w:t xml:space="preserve">Observation </w:t>
      </w:r>
      <w:r>
        <w:rPr>
          <w:rFonts w:hint="default" w:eastAsiaTheme="minorEastAsia"/>
          <w:b/>
          <w:bCs/>
          <w:lang w:val="en-US" w:eastAsia="zh-CN"/>
        </w:rPr>
        <w:t>6</w:t>
      </w:r>
      <w:r>
        <w:rPr>
          <w:rFonts w:eastAsiaTheme="minorEastAsia"/>
          <w:b/>
          <w:bCs/>
          <w:lang w:eastAsia="zh-CN"/>
        </w:rPr>
        <w:t xml:space="preserve">: For soft satellite switching in quasi-earth fixed cell, PCI collision and/or interference issues could be solved. </w:t>
      </w:r>
    </w:p>
    <w:p>
      <w:pPr>
        <w:pStyle w:val="60"/>
        <w:spacing w:after="0"/>
        <w:ind w:left="0" w:firstLine="0"/>
        <w:rPr>
          <w:rFonts w:eastAsiaTheme="minorEastAsia"/>
          <w:b/>
          <w:sz w:val="32"/>
          <w:szCs w:val="32"/>
          <w:lang w:eastAsia="zh-CN"/>
        </w:rPr>
      </w:pPr>
      <w:r>
        <w:rPr>
          <w:rFonts w:hint="eastAsia" w:eastAsiaTheme="minorEastAsia"/>
          <w:b/>
          <w:bCs/>
          <w:color w:val="auto"/>
          <w:sz w:val="20"/>
          <w:szCs w:val="20"/>
          <w:lang w:eastAsia="zh-CN"/>
        </w:rPr>
        <w:t>P</w:t>
      </w:r>
      <w:r>
        <w:rPr>
          <w:rFonts w:eastAsiaTheme="minorEastAsia"/>
          <w:b/>
          <w:bCs/>
          <w:color w:val="auto"/>
          <w:sz w:val="20"/>
          <w:szCs w:val="20"/>
          <w:lang w:eastAsia="zh-CN"/>
        </w:rPr>
        <w:t xml:space="preserve">roposal </w:t>
      </w:r>
      <w:r>
        <w:rPr>
          <w:rFonts w:hint="default" w:eastAsiaTheme="minorEastAsia"/>
          <w:b/>
          <w:bCs/>
          <w:color w:val="auto"/>
          <w:sz w:val="20"/>
          <w:szCs w:val="20"/>
          <w:lang w:val="en-US" w:eastAsia="zh-CN"/>
        </w:rPr>
        <w:t>2</w:t>
      </w:r>
      <w:r>
        <w:rPr>
          <w:rFonts w:eastAsiaTheme="minorEastAsia"/>
          <w:b/>
          <w:bCs/>
          <w:color w:val="auto"/>
          <w:sz w:val="20"/>
          <w:szCs w:val="20"/>
          <w:lang w:eastAsia="zh-CN"/>
        </w:rPr>
        <w:t>:</w:t>
      </w:r>
      <w:r>
        <w:rPr>
          <w:rFonts w:hint="default" w:eastAsiaTheme="minorEastAsia"/>
          <w:b/>
          <w:bCs/>
          <w:color w:val="auto"/>
          <w:sz w:val="20"/>
          <w:szCs w:val="20"/>
          <w:lang w:val="en-US" w:eastAsia="zh-CN"/>
        </w:rPr>
        <w:t xml:space="preserve"> </w:t>
      </w:r>
      <w:r>
        <w:rPr>
          <w:rFonts w:eastAsiaTheme="minorEastAsia"/>
          <w:b/>
          <w:bCs/>
          <w:lang w:eastAsia="zh-CN"/>
        </w:rPr>
        <w:t>An LS to RAN1 may be needed to confirm the feasibility of the soft switching case.</w:t>
      </w:r>
    </w:p>
    <w:bookmarkEnd w:id="2"/>
    <w:p>
      <w:pPr>
        <w:pStyle w:val="2"/>
        <w:rPr>
          <w:rFonts w:cs="Arial"/>
          <w:sz w:val="32"/>
          <w:szCs w:val="32"/>
        </w:rPr>
      </w:pPr>
      <w:r>
        <w:rPr>
          <w:rFonts w:cs="Arial"/>
          <w:sz w:val="32"/>
          <w:szCs w:val="32"/>
        </w:rPr>
        <w:t>Conclusion</w:t>
      </w:r>
    </w:p>
    <w:p>
      <w:pPr>
        <w:pStyle w:val="60"/>
        <w:spacing w:after="0"/>
        <w:ind w:left="0" w:firstLine="0"/>
        <w:rPr>
          <w:rFonts w:eastAsia="宋体" w:cs="Arial"/>
        </w:rPr>
      </w:pPr>
      <w:r>
        <w:rPr>
          <w:rFonts w:eastAsia="宋体" w:cs="Arial"/>
        </w:rPr>
        <w:t xml:space="preserve">Based on the discussions mentioned above, in this contribution we provide some </w:t>
      </w:r>
      <w:r>
        <w:rPr>
          <w:rFonts w:hint="default" w:eastAsia="宋体" w:cs="Arial"/>
          <w:lang w:val="en-US"/>
        </w:rPr>
        <w:t xml:space="preserve">further </w:t>
      </w:r>
      <w:r>
        <w:rPr>
          <w:rFonts w:eastAsia="宋体" w:cs="Arial"/>
        </w:rPr>
        <w:t xml:space="preserve">discussions </w:t>
      </w:r>
      <w:r>
        <w:rPr>
          <w:rFonts w:hint="eastAsia" w:eastAsiaTheme="minorEastAsia"/>
          <w:lang w:eastAsia="zh-CN"/>
        </w:rPr>
        <w:t xml:space="preserve">on </w:t>
      </w:r>
      <w:r>
        <w:rPr>
          <w:rFonts w:hint="default" w:cs="Arial" w:eastAsiaTheme="minorEastAsia"/>
          <w:lang w:val="en-US"/>
        </w:rPr>
        <w:t>PCI unchanged handover enhancements</w:t>
      </w:r>
      <w:r>
        <w:rPr>
          <w:rFonts w:eastAsiaTheme="minorEastAsia"/>
          <w:lang w:eastAsia="zh-CN"/>
        </w:rPr>
        <w:t xml:space="preserve"> </w:t>
      </w:r>
      <w:r>
        <w:rPr>
          <w:rFonts w:eastAsia="宋体" w:cs="Arial"/>
        </w:rPr>
        <w:t>and have the following observations and proposals:</w:t>
      </w:r>
    </w:p>
    <w:p>
      <w:pPr>
        <w:pStyle w:val="60"/>
        <w:spacing w:after="0"/>
        <w:ind w:left="0" w:firstLine="0"/>
        <w:rPr>
          <w:rFonts w:hint="default" w:eastAsiaTheme="minorEastAsia"/>
          <w:b/>
          <w:bCs/>
          <w:lang w:val="en-US" w:eastAsia="zh-CN"/>
        </w:rPr>
      </w:pPr>
      <w:r>
        <w:rPr>
          <w:rFonts w:eastAsiaTheme="minorEastAsia"/>
          <w:b/>
          <w:bCs/>
          <w:lang w:eastAsia="zh-CN"/>
        </w:rPr>
        <w:t xml:space="preserve">Observation </w:t>
      </w:r>
      <w:r>
        <w:rPr>
          <w:rFonts w:hint="default" w:eastAsiaTheme="minorEastAsia"/>
          <w:b/>
          <w:bCs/>
          <w:lang w:val="en-US" w:eastAsia="zh-CN"/>
        </w:rPr>
        <w:t>1</w:t>
      </w:r>
      <w:r>
        <w:rPr>
          <w:rFonts w:eastAsiaTheme="minorEastAsia"/>
          <w:b/>
          <w:bCs/>
          <w:lang w:eastAsia="zh-CN"/>
        </w:rPr>
        <w:t>:</w:t>
      </w:r>
      <w:r>
        <w:rPr>
          <w:rFonts w:hint="default" w:eastAsiaTheme="minorEastAsia"/>
          <w:b/>
          <w:bCs/>
          <w:lang w:val="en-US" w:eastAsia="zh-CN"/>
        </w:rPr>
        <w:t xml:space="preserve"> Even if different satellites do have different coverage, it still could work well due to that different satellites connection to same gNB will always have a wide range of intersection.</w:t>
      </w:r>
    </w:p>
    <w:p>
      <w:pPr>
        <w:pStyle w:val="60"/>
        <w:spacing w:after="0"/>
        <w:ind w:left="0" w:firstLine="0"/>
        <w:rPr>
          <w:rFonts w:hint="default" w:eastAsiaTheme="minorEastAsia"/>
          <w:b/>
          <w:bCs/>
          <w:lang w:val="en-US" w:eastAsia="zh-CN"/>
        </w:rPr>
      </w:pPr>
      <w:r>
        <w:rPr>
          <w:rFonts w:eastAsiaTheme="minorEastAsia"/>
          <w:b/>
          <w:bCs/>
          <w:lang w:eastAsia="zh-CN"/>
        </w:rPr>
        <w:t xml:space="preserve">Observation </w:t>
      </w:r>
      <w:r>
        <w:rPr>
          <w:rFonts w:hint="default" w:eastAsiaTheme="minorEastAsia"/>
          <w:b/>
          <w:bCs/>
          <w:lang w:val="en-US" w:eastAsia="zh-CN"/>
        </w:rPr>
        <w:t>2</w:t>
      </w:r>
      <w:r>
        <w:rPr>
          <w:rFonts w:eastAsiaTheme="minorEastAsia"/>
          <w:b/>
          <w:bCs/>
          <w:lang w:eastAsia="zh-CN"/>
        </w:rPr>
        <w:t>:</w:t>
      </w:r>
      <w:r>
        <w:rPr>
          <w:rFonts w:hint="default" w:eastAsiaTheme="minorEastAsia"/>
          <w:b/>
          <w:bCs/>
          <w:lang w:val="en-US" w:eastAsia="zh-CN"/>
        </w:rPr>
        <w:t xml:space="preserve"> There may be some RAN1 impacts only for soft satellite switch, while some resolutions have been provide among contributions, for example, use MIMO for reception of multiple beams, providing NCD-SSB, and by gNB implementation, etc.</w:t>
      </w:r>
    </w:p>
    <w:p>
      <w:pPr>
        <w:pStyle w:val="60"/>
        <w:spacing w:after="0"/>
        <w:ind w:left="0" w:firstLine="0"/>
        <w:rPr>
          <w:rFonts w:hint="default" w:eastAsiaTheme="minorEastAsia"/>
          <w:b/>
          <w:bCs/>
          <w:lang w:val="en-US" w:eastAsia="zh-CN"/>
        </w:rPr>
      </w:pPr>
      <w:r>
        <w:rPr>
          <w:rFonts w:eastAsiaTheme="minorEastAsia"/>
          <w:b/>
          <w:bCs/>
          <w:lang w:eastAsia="zh-CN"/>
        </w:rPr>
        <w:t xml:space="preserve">Observation </w:t>
      </w:r>
      <w:r>
        <w:rPr>
          <w:rFonts w:hint="default" w:eastAsiaTheme="minorEastAsia"/>
          <w:b/>
          <w:bCs/>
          <w:lang w:val="en-US" w:eastAsia="zh-CN"/>
        </w:rPr>
        <w:t>3</w:t>
      </w:r>
      <w:r>
        <w:rPr>
          <w:rFonts w:eastAsiaTheme="minorEastAsia"/>
          <w:b/>
          <w:bCs/>
          <w:lang w:eastAsia="zh-CN"/>
        </w:rPr>
        <w:t>:</w:t>
      </w:r>
      <w:r>
        <w:rPr>
          <w:rFonts w:hint="default" w:eastAsiaTheme="minorEastAsia"/>
          <w:b/>
          <w:bCs/>
          <w:lang w:val="en-US" w:eastAsia="zh-CN"/>
        </w:rPr>
        <w:t xml:space="preserve"> Both hard service link switch and soft service link switch are not new scenarios, which are already existing NTN deployment cases.</w:t>
      </w:r>
    </w:p>
    <w:p>
      <w:pPr>
        <w:pStyle w:val="60"/>
        <w:spacing w:after="0"/>
        <w:ind w:left="0" w:firstLine="0"/>
        <w:rPr>
          <w:rFonts w:hint="default" w:eastAsiaTheme="minorEastAsia"/>
          <w:b/>
          <w:bCs/>
          <w:lang w:val="en-US" w:eastAsia="zh-CN"/>
        </w:rPr>
      </w:pPr>
      <w:r>
        <w:rPr>
          <w:rFonts w:eastAsiaTheme="minorEastAsia"/>
          <w:b/>
          <w:bCs/>
          <w:lang w:eastAsia="zh-CN"/>
        </w:rPr>
        <w:t xml:space="preserve">Observation </w:t>
      </w:r>
      <w:r>
        <w:rPr>
          <w:rFonts w:hint="default" w:eastAsiaTheme="minorEastAsia"/>
          <w:b/>
          <w:bCs/>
          <w:lang w:val="en-US" w:eastAsia="zh-CN"/>
        </w:rPr>
        <w:t>4</w:t>
      </w:r>
      <w:r>
        <w:rPr>
          <w:rFonts w:eastAsiaTheme="minorEastAsia"/>
          <w:b/>
          <w:bCs/>
          <w:lang w:eastAsia="zh-CN"/>
        </w:rPr>
        <w:t>:</w:t>
      </w:r>
      <w:r>
        <w:rPr>
          <w:rFonts w:hint="default" w:eastAsiaTheme="minorEastAsia"/>
          <w:b/>
          <w:bCs/>
          <w:lang w:val="en-US" w:eastAsia="zh-CN"/>
        </w:rPr>
        <w:t xml:space="preserve"> For the interruption, it needs to be clarified that this issue is not introduced by PCI unchanging, and with the network assistance information (e.g. ephemeris), it could be alleviated and ignored.</w:t>
      </w:r>
    </w:p>
    <w:p>
      <w:pPr>
        <w:pStyle w:val="60"/>
        <w:spacing w:after="0"/>
        <w:ind w:left="0" w:firstLine="0"/>
        <w:rPr>
          <w:rFonts w:hint="default"/>
          <w:lang w:val="en-US"/>
        </w:rPr>
      </w:pPr>
      <w:r>
        <w:rPr>
          <w:rFonts w:eastAsiaTheme="minorEastAsia"/>
          <w:b/>
          <w:bCs/>
          <w:lang w:eastAsia="zh-CN"/>
        </w:rPr>
        <w:t xml:space="preserve">Observation </w:t>
      </w:r>
      <w:r>
        <w:rPr>
          <w:rFonts w:hint="default" w:eastAsiaTheme="minorEastAsia"/>
          <w:b/>
          <w:bCs/>
          <w:lang w:val="en-US" w:eastAsia="zh-CN"/>
        </w:rPr>
        <w:t>5</w:t>
      </w:r>
      <w:r>
        <w:rPr>
          <w:rFonts w:eastAsiaTheme="minorEastAsia"/>
          <w:b/>
          <w:bCs/>
          <w:lang w:eastAsia="zh-CN"/>
        </w:rPr>
        <w:t>:</w:t>
      </w:r>
      <w:r>
        <w:rPr>
          <w:rFonts w:hint="default" w:eastAsiaTheme="minorEastAsia"/>
          <w:b/>
          <w:bCs/>
          <w:lang w:val="en-US" w:eastAsia="zh-CN"/>
        </w:rPr>
        <w:t xml:space="preserve"> With the updated system information, UE could implement UL synchronization based on NW assistance information and its own location information without handover. </w:t>
      </w:r>
    </w:p>
    <w:p>
      <w:pPr>
        <w:pStyle w:val="60"/>
        <w:spacing w:after="0"/>
        <w:ind w:left="0" w:firstLine="0"/>
        <w:rPr>
          <w:rFonts w:hint="default" w:eastAsiaTheme="minorEastAsia"/>
          <w:b/>
          <w:bCs/>
          <w:color w:val="auto"/>
          <w:sz w:val="20"/>
          <w:szCs w:val="20"/>
          <w:lang w:val="en-US" w:eastAsia="zh-CN"/>
        </w:rPr>
      </w:pPr>
      <w:r>
        <w:rPr>
          <w:rFonts w:eastAsiaTheme="minorEastAsia"/>
          <w:b/>
          <w:bCs/>
          <w:lang w:eastAsia="zh-CN"/>
        </w:rPr>
        <w:t xml:space="preserve">Observation </w:t>
      </w:r>
      <w:r>
        <w:rPr>
          <w:rFonts w:hint="default" w:eastAsiaTheme="minorEastAsia"/>
          <w:b/>
          <w:bCs/>
          <w:lang w:val="en-US" w:eastAsia="zh-CN"/>
        </w:rPr>
        <w:t>6</w:t>
      </w:r>
      <w:r>
        <w:rPr>
          <w:rFonts w:eastAsiaTheme="minorEastAsia"/>
          <w:b/>
          <w:bCs/>
          <w:lang w:eastAsia="zh-CN"/>
        </w:rPr>
        <w:t xml:space="preserve">: For soft satellite switching in quasi-earth fixed cell, PCI collision and/or interference issues could be solved. </w:t>
      </w:r>
    </w:p>
    <w:p>
      <w:pPr>
        <w:pStyle w:val="60"/>
        <w:spacing w:before="40" w:after="40"/>
        <w:ind w:left="0" w:firstLine="0"/>
        <w:jc w:val="both"/>
        <w:rPr>
          <w:rFonts w:eastAsia="宋体" w:cs="Arial"/>
        </w:rPr>
      </w:pPr>
    </w:p>
    <w:p>
      <w:pPr>
        <w:pStyle w:val="60"/>
        <w:spacing w:after="0"/>
        <w:ind w:left="0" w:firstLine="0"/>
        <w:rPr>
          <w:rFonts w:hint="default" w:eastAsiaTheme="minorEastAsia"/>
          <w:b/>
          <w:bCs/>
          <w:color w:val="auto"/>
          <w:sz w:val="20"/>
          <w:szCs w:val="20"/>
          <w:lang w:val="en-US" w:eastAsia="zh-CN"/>
        </w:rPr>
      </w:pPr>
      <w:r>
        <w:rPr>
          <w:rFonts w:hint="eastAsia" w:eastAsiaTheme="minorEastAsia"/>
          <w:b/>
          <w:bCs/>
          <w:color w:val="auto"/>
          <w:sz w:val="20"/>
          <w:szCs w:val="20"/>
          <w:lang w:eastAsia="zh-CN"/>
        </w:rPr>
        <w:t>P</w:t>
      </w:r>
      <w:r>
        <w:rPr>
          <w:rFonts w:eastAsiaTheme="minorEastAsia"/>
          <w:b/>
          <w:bCs/>
          <w:color w:val="auto"/>
          <w:sz w:val="20"/>
          <w:szCs w:val="20"/>
          <w:lang w:eastAsia="zh-CN"/>
        </w:rPr>
        <w:t xml:space="preserve">roposal </w:t>
      </w:r>
      <w:r>
        <w:rPr>
          <w:rFonts w:hint="default" w:eastAsiaTheme="minorEastAsia"/>
          <w:b/>
          <w:bCs/>
          <w:color w:val="auto"/>
          <w:sz w:val="20"/>
          <w:szCs w:val="20"/>
          <w:lang w:val="en-US" w:eastAsia="zh-CN"/>
        </w:rPr>
        <w:t>1</w:t>
      </w:r>
      <w:r>
        <w:rPr>
          <w:rFonts w:eastAsiaTheme="minorEastAsia"/>
          <w:b/>
          <w:bCs/>
          <w:color w:val="auto"/>
          <w:sz w:val="20"/>
          <w:szCs w:val="20"/>
          <w:lang w:eastAsia="zh-CN"/>
        </w:rPr>
        <w:t xml:space="preserve">: </w:t>
      </w:r>
      <w:r>
        <w:rPr>
          <w:rFonts w:hint="default" w:eastAsiaTheme="minorEastAsia"/>
          <w:b/>
          <w:bCs/>
          <w:color w:val="auto"/>
          <w:sz w:val="20"/>
          <w:szCs w:val="20"/>
          <w:lang w:val="en-US" w:eastAsia="zh-CN"/>
        </w:rPr>
        <w:t>RAN2 to confirm the working assumption: In quasi-earth fixed cell case, for hard satellite switch in the same SSB frequency and same gNB (no key change), satellite switching without PCI changing (not requiring L3 mobility) is supported.</w:t>
      </w:r>
    </w:p>
    <w:p>
      <w:pPr>
        <w:pStyle w:val="60"/>
        <w:spacing w:after="0"/>
        <w:ind w:left="0" w:firstLine="0"/>
        <w:rPr>
          <w:rFonts w:eastAsia="宋体" w:cs="Arial"/>
        </w:rPr>
      </w:pPr>
      <w:r>
        <w:rPr>
          <w:rFonts w:hint="eastAsia" w:eastAsiaTheme="minorEastAsia"/>
          <w:b/>
          <w:bCs/>
          <w:color w:val="auto"/>
          <w:sz w:val="20"/>
          <w:szCs w:val="20"/>
          <w:lang w:eastAsia="zh-CN"/>
        </w:rPr>
        <w:t>P</w:t>
      </w:r>
      <w:r>
        <w:rPr>
          <w:rFonts w:eastAsiaTheme="minorEastAsia"/>
          <w:b/>
          <w:bCs/>
          <w:color w:val="auto"/>
          <w:sz w:val="20"/>
          <w:szCs w:val="20"/>
          <w:lang w:eastAsia="zh-CN"/>
        </w:rPr>
        <w:t xml:space="preserve">roposal </w:t>
      </w:r>
      <w:r>
        <w:rPr>
          <w:rFonts w:hint="default" w:eastAsiaTheme="minorEastAsia"/>
          <w:b/>
          <w:bCs/>
          <w:color w:val="auto"/>
          <w:sz w:val="20"/>
          <w:szCs w:val="20"/>
          <w:lang w:val="en-US" w:eastAsia="zh-CN"/>
        </w:rPr>
        <w:t>2</w:t>
      </w:r>
      <w:r>
        <w:rPr>
          <w:rFonts w:eastAsiaTheme="minorEastAsia"/>
          <w:b/>
          <w:bCs/>
          <w:color w:val="auto"/>
          <w:sz w:val="20"/>
          <w:szCs w:val="20"/>
          <w:lang w:eastAsia="zh-CN"/>
        </w:rPr>
        <w:t>:</w:t>
      </w:r>
      <w:r>
        <w:rPr>
          <w:rFonts w:hint="default" w:eastAsiaTheme="minorEastAsia"/>
          <w:b/>
          <w:bCs/>
          <w:color w:val="auto"/>
          <w:sz w:val="20"/>
          <w:szCs w:val="20"/>
          <w:lang w:val="en-US" w:eastAsia="zh-CN"/>
        </w:rPr>
        <w:t xml:space="preserve"> </w:t>
      </w:r>
      <w:r>
        <w:rPr>
          <w:rFonts w:eastAsiaTheme="minorEastAsia"/>
          <w:b/>
          <w:bCs/>
          <w:lang w:eastAsia="zh-CN"/>
        </w:rPr>
        <w:t>An LS to RAN1 may be needed to confirm the feasibility of the soft switching case.</w:t>
      </w:r>
    </w:p>
    <w:p>
      <w:pPr>
        <w:pStyle w:val="2"/>
        <w:rPr>
          <w:rFonts w:cs="Arial"/>
          <w:sz w:val="32"/>
          <w:szCs w:val="32"/>
        </w:rPr>
      </w:pPr>
      <w:r>
        <w:rPr>
          <w:rFonts w:cs="Arial"/>
          <w:sz w:val="32"/>
          <w:szCs w:val="32"/>
        </w:rPr>
        <w:t>Reference</w:t>
      </w:r>
    </w:p>
    <w:p>
      <w:pPr>
        <w:pStyle w:val="29"/>
        <w:numPr>
          <w:ilvl w:val="0"/>
          <w:numId w:val="12"/>
        </w:numPr>
        <w:overflowPunct/>
        <w:autoSpaceDE/>
        <w:autoSpaceDN/>
        <w:adjustRightInd/>
        <w:spacing w:after="0"/>
        <w:jc w:val="left"/>
        <w:textAlignment w:val="auto"/>
      </w:pPr>
      <w:bookmarkStart w:id="3" w:name="_In-sequence_SDU_delivery"/>
      <w:bookmarkEnd w:id="3"/>
      <w:r>
        <w:rPr>
          <w:rFonts w:hint="eastAsia"/>
        </w:rPr>
        <w:t>R2-2301901 - Report from Break-out session on NR-NTN, IoT-NTN and RedCap</w:t>
      </w:r>
    </w:p>
    <w:sectPr>
      <w:footerReference r:id="rId5" w:type="default"/>
      <w:headerReference r:id="rId4"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center" w:pos="4820"/>
        <w:tab w:val="right" w:pos="9639"/>
      </w:tabs>
      <w:jc w:val="left"/>
    </w:pPr>
    <w:r>
      <w:tab/>
    </w:r>
    <w:r>
      <w:rPr>
        <w:rStyle w:val="50"/>
      </w:rPr>
      <w:fldChar w:fldCharType="begin"/>
    </w:r>
    <w:r>
      <w:rPr>
        <w:rStyle w:val="50"/>
      </w:rPr>
      <w:instrText xml:space="preserve"> PAGE </w:instrText>
    </w:r>
    <w:r>
      <w:rPr>
        <w:rStyle w:val="50"/>
      </w:rPr>
      <w:fldChar w:fldCharType="separate"/>
    </w:r>
    <w:r>
      <w:rPr>
        <w:rStyle w:val="50"/>
      </w:rPr>
      <w:t>7</w:t>
    </w:r>
    <w:r>
      <w:rPr>
        <w:rStyle w:val="50"/>
      </w:rPr>
      <w:fldChar w:fldCharType="end"/>
    </w:r>
    <w:r>
      <w:rPr>
        <w:rStyle w:val="50"/>
      </w:rPr>
      <w:t>/</w:t>
    </w:r>
    <w:r>
      <w:rPr>
        <w:rStyle w:val="50"/>
      </w:rPr>
      <w:fldChar w:fldCharType="begin"/>
    </w:r>
    <w:r>
      <w:rPr>
        <w:rStyle w:val="50"/>
      </w:rPr>
      <w:instrText xml:space="preserve"> NUMPAGES </w:instrText>
    </w:r>
    <w:r>
      <w:rPr>
        <w:rStyle w:val="50"/>
      </w:rPr>
      <w:fldChar w:fldCharType="separate"/>
    </w:r>
    <w:r>
      <w:rPr>
        <w:rStyle w:val="50"/>
      </w:rPr>
      <w:t>7</w:t>
    </w:r>
    <w:r>
      <w:rPr>
        <w:rStyle w:val="50"/>
      </w:rPr>
      <w:fldChar w:fldCharType="end"/>
    </w:r>
    <w:r>
      <w:rPr>
        <w:rStyle w:val="5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C42602"/>
    <w:multiLevelType w:val="singleLevel"/>
    <w:tmpl w:val="87C42602"/>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9"/>
      <w:lvlText w:val="%1.%2.%3.%4.%5.%6"/>
      <w:lvlJc w:val="left"/>
      <w:pPr>
        <w:tabs>
          <w:tab w:val="left" w:pos="1152"/>
        </w:tabs>
        <w:ind w:left="1152" w:hanging="1152"/>
      </w:pPr>
      <w:rPr>
        <w:rFonts w:hint="default"/>
      </w:rPr>
    </w:lvl>
    <w:lvl w:ilvl="6" w:tentative="0">
      <w:start w:val="1"/>
      <w:numFmt w:val="decimal"/>
      <w:pStyle w:val="10"/>
      <w:lvlText w:val="%1.%2.%3.%4.%5.%6.%7"/>
      <w:lvlJc w:val="left"/>
      <w:pPr>
        <w:tabs>
          <w:tab w:val="left" w:pos="1296"/>
        </w:tabs>
        <w:ind w:left="1296" w:hanging="1296"/>
      </w:pPr>
      <w:rPr>
        <w:rFonts w:hint="default"/>
      </w:rPr>
    </w:lvl>
    <w:lvl w:ilvl="7" w:tentative="0">
      <w:start w:val="1"/>
      <w:numFmt w:val="decimal"/>
      <w:pStyle w:val="11"/>
      <w:lvlText w:val="%1.%2.%3.%4.%5.%6.%7.%8"/>
      <w:lvlJc w:val="left"/>
      <w:pPr>
        <w:tabs>
          <w:tab w:val="left" w:pos="1440"/>
        </w:tabs>
        <w:ind w:left="1440" w:hanging="1440"/>
      </w:pPr>
      <w:rPr>
        <w:rFonts w:hint="default"/>
      </w:rPr>
    </w:lvl>
    <w:lvl w:ilvl="8" w:tentative="0">
      <w:start w:val="1"/>
      <w:numFmt w:val="decimal"/>
      <w:pStyle w:val="12"/>
      <w:lvlText w:val="%1.%2.%3.%4.%5.%6.%7.%8.%9"/>
      <w:lvlJc w:val="left"/>
      <w:pPr>
        <w:tabs>
          <w:tab w:val="left" w:pos="1584"/>
        </w:tabs>
        <w:ind w:left="1584" w:hanging="1584"/>
      </w:pPr>
      <w:rPr>
        <w:rFonts w:hint="default"/>
      </w:rPr>
    </w:lvl>
  </w:abstractNum>
  <w:abstractNum w:abstractNumId="2">
    <w:nsid w:val="0D9839D7"/>
    <w:multiLevelType w:val="multilevel"/>
    <w:tmpl w:val="0D9839D7"/>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
    <w:nsid w:val="310B38FD"/>
    <w:multiLevelType w:val="multilevel"/>
    <w:tmpl w:val="310B38FD"/>
    <w:lvl w:ilvl="0" w:tentative="0">
      <w:start w:val="1"/>
      <w:numFmt w:val="bullet"/>
      <w:pStyle w:val="28"/>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1CD34B6"/>
    <w:multiLevelType w:val="multilevel"/>
    <w:tmpl w:val="31CD34B6"/>
    <w:lvl w:ilvl="0" w:tentative="0">
      <w:start w:val="1"/>
      <w:numFmt w:val="bullet"/>
      <w:pStyle w:val="25"/>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BCA721D"/>
    <w:multiLevelType w:val="multilevel"/>
    <w:tmpl w:val="3BCA721D"/>
    <w:lvl w:ilvl="0" w:tentative="0">
      <w:start w:val="1"/>
      <w:numFmt w:val="bullet"/>
      <w:pStyle w:val="33"/>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7">
    <w:nsid w:val="43303F73"/>
    <w:multiLevelType w:val="multilevel"/>
    <w:tmpl w:val="43303F73"/>
    <w:lvl w:ilvl="0" w:tentative="0">
      <w:start w:val="1"/>
      <w:numFmt w:val="bullet"/>
      <w:pStyle w:val="27"/>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7F52A81"/>
    <w:multiLevelType w:val="multilevel"/>
    <w:tmpl w:val="57F52A81"/>
    <w:lvl w:ilvl="0" w:tentative="0">
      <w:start w:val="1"/>
      <w:numFmt w:val="bullet"/>
      <w:pStyle w:val="2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10"/>
  </w:num>
  <w:num w:numId="4">
    <w:abstractNumId w:val="7"/>
  </w:num>
  <w:num w:numId="5">
    <w:abstractNumId w:val="3"/>
  </w:num>
  <w:num w:numId="6">
    <w:abstractNumId w:val="6"/>
  </w:num>
  <w:num w:numId="7">
    <w:abstractNumId w:val="8"/>
  </w:num>
  <w:num w:numId="8">
    <w:abstractNumId w:val="5"/>
  </w:num>
  <w:num w:numId="9">
    <w:abstractNumId w:val="9"/>
  </w:num>
  <w:num w:numId="10">
    <w:abstractNumId w:val="11"/>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465"/>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48EE"/>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A7AE0"/>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AE9"/>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43E7"/>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3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276"/>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1BA"/>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5B631E"/>
    <w:rsid w:val="016318F9"/>
    <w:rsid w:val="019A10AD"/>
    <w:rsid w:val="01C322DA"/>
    <w:rsid w:val="01F25B8A"/>
    <w:rsid w:val="021B0BE9"/>
    <w:rsid w:val="022F4B03"/>
    <w:rsid w:val="02502A58"/>
    <w:rsid w:val="02744528"/>
    <w:rsid w:val="02CC0A1F"/>
    <w:rsid w:val="02E54366"/>
    <w:rsid w:val="032530AC"/>
    <w:rsid w:val="0364379A"/>
    <w:rsid w:val="038303ED"/>
    <w:rsid w:val="03A11802"/>
    <w:rsid w:val="03F47F88"/>
    <w:rsid w:val="040C6C7E"/>
    <w:rsid w:val="048A5003"/>
    <w:rsid w:val="04AC5432"/>
    <w:rsid w:val="04B403C6"/>
    <w:rsid w:val="04BC080F"/>
    <w:rsid w:val="04F50E2F"/>
    <w:rsid w:val="05530EA2"/>
    <w:rsid w:val="055A535E"/>
    <w:rsid w:val="05606A49"/>
    <w:rsid w:val="05930217"/>
    <w:rsid w:val="05983EBC"/>
    <w:rsid w:val="05CF6A8D"/>
    <w:rsid w:val="06007ACB"/>
    <w:rsid w:val="06261BBF"/>
    <w:rsid w:val="06297A3E"/>
    <w:rsid w:val="063F594E"/>
    <w:rsid w:val="0654248D"/>
    <w:rsid w:val="06565EAE"/>
    <w:rsid w:val="068640F2"/>
    <w:rsid w:val="06C6256D"/>
    <w:rsid w:val="06D74E65"/>
    <w:rsid w:val="076933EE"/>
    <w:rsid w:val="07835551"/>
    <w:rsid w:val="078C1F33"/>
    <w:rsid w:val="07AF7B4F"/>
    <w:rsid w:val="07B959B1"/>
    <w:rsid w:val="07EF7893"/>
    <w:rsid w:val="083F0917"/>
    <w:rsid w:val="0841118C"/>
    <w:rsid w:val="0883289E"/>
    <w:rsid w:val="08AF444E"/>
    <w:rsid w:val="08D401A1"/>
    <w:rsid w:val="08D67BFF"/>
    <w:rsid w:val="09133D3D"/>
    <w:rsid w:val="09975A7F"/>
    <w:rsid w:val="0A1A51CE"/>
    <w:rsid w:val="0A1C051B"/>
    <w:rsid w:val="0A9740DA"/>
    <w:rsid w:val="0ACC0F45"/>
    <w:rsid w:val="0B4A1814"/>
    <w:rsid w:val="0B510D2F"/>
    <w:rsid w:val="0BBD3CC9"/>
    <w:rsid w:val="0BD60B5C"/>
    <w:rsid w:val="0BDD630F"/>
    <w:rsid w:val="0BF27994"/>
    <w:rsid w:val="0C414FCA"/>
    <w:rsid w:val="0CAE5B2E"/>
    <w:rsid w:val="0CB720BC"/>
    <w:rsid w:val="0CF71E04"/>
    <w:rsid w:val="0D101C4D"/>
    <w:rsid w:val="0D4637A0"/>
    <w:rsid w:val="0D524167"/>
    <w:rsid w:val="0D557AC5"/>
    <w:rsid w:val="0D5873D0"/>
    <w:rsid w:val="0D681ED9"/>
    <w:rsid w:val="0D6C179F"/>
    <w:rsid w:val="0D954BE5"/>
    <w:rsid w:val="0DDB664A"/>
    <w:rsid w:val="0E891356"/>
    <w:rsid w:val="0E997EF0"/>
    <w:rsid w:val="0EC440FF"/>
    <w:rsid w:val="0F056678"/>
    <w:rsid w:val="0F2664ED"/>
    <w:rsid w:val="0FCC0A5A"/>
    <w:rsid w:val="0FDC3582"/>
    <w:rsid w:val="0FE0018D"/>
    <w:rsid w:val="100C7A45"/>
    <w:rsid w:val="100D4FEC"/>
    <w:rsid w:val="10221AC0"/>
    <w:rsid w:val="10735303"/>
    <w:rsid w:val="11043CD0"/>
    <w:rsid w:val="110F10D1"/>
    <w:rsid w:val="11251E72"/>
    <w:rsid w:val="11444F0B"/>
    <w:rsid w:val="11AD078F"/>
    <w:rsid w:val="11AF0158"/>
    <w:rsid w:val="11B82D63"/>
    <w:rsid w:val="11C5063A"/>
    <w:rsid w:val="11D764B8"/>
    <w:rsid w:val="12051E3F"/>
    <w:rsid w:val="125F4F1F"/>
    <w:rsid w:val="12B27083"/>
    <w:rsid w:val="12BA7EC6"/>
    <w:rsid w:val="12D22129"/>
    <w:rsid w:val="13116F0E"/>
    <w:rsid w:val="13132FCE"/>
    <w:rsid w:val="131928A2"/>
    <w:rsid w:val="134A0035"/>
    <w:rsid w:val="135C7F4F"/>
    <w:rsid w:val="137F42A5"/>
    <w:rsid w:val="138E0EE5"/>
    <w:rsid w:val="141B1C76"/>
    <w:rsid w:val="14680AF1"/>
    <w:rsid w:val="1488003E"/>
    <w:rsid w:val="14A20FFB"/>
    <w:rsid w:val="153214F9"/>
    <w:rsid w:val="153372CB"/>
    <w:rsid w:val="15831459"/>
    <w:rsid w:val="15B74BFE"/>
    <w:rsid w:val="15C93B10"/>
    <w:rsid w:val="15D930EE"/>
    <w:rsid w:val="15F67500"/>
    <w:rsid w:val="161350A1"/>
    <w:rsid w:val="16563130"/>
    <w:rsid w:val="169343E9"/>
    <w:rsid w:val="16AA08E2"/>
    <w:rsid w:val="16D45FC5"/>
    <w:rsid w:val="16F24CA6"/>
    <w:rsid w:val="17103259"/>
    <w:rsid w:val="17125755"/>
    <w:rsid w:val="172B7C90"/>
    <w:rsid w:val="1767603B"/>
    <w:rsid w:val="177E36D0"/>
    <w:rsid w:val="17B43BA9"/>
    <w:rsid w:val="17E36F09"/>
    <w:rsid w:val="180E362D"/>
    <w:rsid w:val="184B2922"/>
    <w:rsid w:val="185B38DD"/>
    <w:rsid w:val="189E3889"/>
    <w:rsid w:val="18AE3B3B"/>
    <w:rsid w:val="18B9619D"/>
    <w:rsid w:val="19060E9A"/>
    <w:rsid w:val="191242AE"/>
    <w:rsid w:val="19AC5C42"/>
    <w:rsid w:val="19BC1AC5"/>
    <w:rsid w:val="1A0C44B7"/>
    <w:rsid w:val="1A330485"/>
    <w:rsid w:val="1AEF5DBD"/>
    <w:rsid w:val="1B0F6795"/>
    <w:rsid w:val="1B423649"/>
    <w:rsid w:val="1B4F7512"/>
    <w:rsid w:val="1B9B0470"/>
    <w:rsid w:val="1BA24967"/>
    <w:rsid w:val="1BD95F94"/>
    <w:rsid w:val="1BDA5141"/>
    <w:rsid w:val="1C3D1CD0"/>
    <w:rsid w:val="1C4F60C0"/>
    <w:rsid w:val="1C53671B"/>
    <w:rsid w:val="1C5E7298"/>
    <w:rsid w:val="1C851710"/>
    <w:rsid w:val="1D3D57D8"/>
    <w:rsid w:val="1D967ECF"/>
    <w:rsid w:val="1D992346"/>
    <w:rsid w:val="1DDD518B"/>
    <w:rsid w:val="1E3072B7"/>
    <w:rsid w:val="1E403C53"/>
    <w:rsid w:val="1E423D32"/>
    <w:rsid w:val="1E833817"/>
    <w:rsid w:val="1E891DF2"/>
    <w:rsid w:val="1EA20D4A"/>
    <w:rsid w:val="1EAA6DF5"/>
    <w:rsid w:val="1EFF6958"/>
    <w:rsid w:val="1F734328"/>
    <w:rsid w:val="1FA11974"/>
    <w:rsid w:val="20203DE8"/>
    <w:rsid w:val="2031215C"/>
    <w:rsid w:val="203151BD"/>
    <w:rsid w:val="204D6087"/>
    <w:rsid w:val="2059108F"/>
    <w:rsid w:val="20955704"/>
    <w:rsid w:val="20A45D3D"/>
    <w:rsid w:val="20B341CE"/>
    <w:rsid w:val="20DB7C51"/>
    <w:rsid w:val="20E9518E"/>
    <w:rsid w:val="20F84A28"/>
    <w:rsid w:val="211313D4"/>
    <w:rsid w:val="21422F0B"/>
    <w:rsid w:val="215A1CC8"/>
    <w:rsid w:val="217205F8"/>
    <w:rsid w:val="21B27259"/>
    <w:rsid w:val="21F86645"/>
    <w:rsid w:val="226F5EBB"/>
    <w:rsid w:val="22FC36C0"/>
    <w:rsid w:val="23290322"/>
    <w:rsid w:val="234E7F45"/>
    <w:rsid w:val="23A93966"/>
    <w:rsid w:val="2409684C"/>
    <w:rsid w:val="24147656"/>
    <w:rsid w:val="242016AE"/>
    <w:rsid w:val="245B6D34"/>
    <w:rsid w:val="24B5447A"/>
    <w:rsid w:val="24B82068"/>
    <w:rsid w:val="24CE08EB"/>
    <w:rsid w:val="24E10292"/>
    <w:rsid w:val="24E74628"/>
    <w:rsid w:val="24FA58CF"/>
    <w:rsid w:val="25043CC9"/>
    <w:rsid w:val="251761F2"/>
    <w:rsid w:val="25220439"/>
    <w:rsid w:val="254F15CD"/>
    <w:rsid w:val="25533A48"/>
    <w:rsid w:val="25780CEA"/>
    <w:rsid w:val="25A26714"/>
    <w:rsid w:val="263758B2"/>
    <w:rsid w:val="2677429F"/>
    <w:rsid w:val="26C73FA7"/>
    <w:rsid w:val="26DD302F"/>
    <w:rsid w:val="27306E68"/>
    <w:rsid w:val="27606908"/>
    <w:rsid w:val="278B6FA0"/>
    <w:rsid w:val="27B74383"/>
    <w:rsid w:val="27E26E59"/>
    <w:rsid w:val="2809471B"/>
    <w:rsid w:val="28255BB3"/>
    <w:rsid w:val="283719E6"/>
    <w:rsid w:val="2837536E"/>
    <w:rsid w:val="285478B9"/>
    <w:rsid w:val="287D5E75"/>
    <w:rsid w:val="28841A40"/>
    <w:rsid w:val="28A736B5"/>
    <w:rsid w:val="28AD0B61"/>
    <w:rsid w:val="28AE4E60"/>
    <w:rsid w:val="28FC2163"/>
    <w:rsid w:val="290A157E"/>
    <w:rsid w:val="293D1A13"/>
    <w:rsid w:val="29423CBE"/>
    <w:rsid w:val="29B37B25"/>
    <w:rsid w:val="29CD3FA9"/>
    <w:rsid w:val="2ABF2591"/>
    <w:rsid w:val="2AC07447"/>
    <w:rsid w:val="2AC82235"/>
    <w:rsid w:val="2AE92EE3"/>
    <w:rsid w:val="2AF0613E"/>
    <w:rsid w:val="2B083F92"/>
    <w:rsid w:val="2B0E593D"/>
    <w:rsid w:val="2B542A45"/>
    <w:rsid w:val="2B914808"/>
    <w:rsid w:val="2BBC4D13"/>
    <w:rsid w:val="2BE04618"/>
    <w:rsid w:val="2BE54292"/>
    <w:rsid w:val="2C1D7AA9"/>
    <w:rsid w:val="2C8462A5"/>
    <w:rsid w:val="2CA00762"/>
    <w:rsid w:val="2CAF4414"/>
    <w:rsid w:val="2CDB6DF8"/>
    <w:rsid w:val="2CF51ED1"/>
    <w:rsid w:val="2CFA23BD"/>
    <w:rsid w:val="2D23038C"/>
    <w:rsid w:val="2D3B228A"/>
    <w:rsid w:val="2D5923F4"/>
    <w:rsid w:val="2DB13E09"/>
    <w:rsid w:val="2DB6192E"/>
    <w:rsid w:val="2DBF3A8D"/>
    <w:rsid w:val="2DE67FFA"/>
    <w:rsid w:val="2DEF26F4"/>
    <w:rsid w:val="2DF36570"/>
    <w:rsid w:val="2DF75D2E"/>
    <w:rsid w:val="2EB775B3"/>
    <w:rsid w:val="2EE85B84"/>
    <w:rsid w:val="2EF94A67"/>
    <w:rsid w:val="2F5218C1"/>
    <w:rsid w:val="302E07AF"/>
    <w:rsid w:val="30946552"/>
    <w:rsid w:val="30DB2505"/>
    <w:rsid w:val="30EF4A39"/>
    <w:rsid w:val="311B0263"/>
    <w:rsid w:val="317D29C7"/>
    <w:rsid w:val="318363A4"/>
    <w:rsid w:val="319D3380"/>
    <w:rsid w:val="31AE180F"/>
    <w:rsid w:val="32A942B0"/>
    <w:rsid w:val="32C61FBF"/>
    <w:rsid w:val="32F13120"/>
    <w:rsid w:val="32F1728F"/>
    <w:rsid w:val="333663A2"/>
    <w:rsid w:val="33E26367"/>
    <w:rsid w:val="33F614DE"/>
    <w:rsid w:val="33F732D9"/>
    <w:rsid w:val="340B72BC"/>
    <w:rsid w:val="3424615F"/>
    <w:rsid w:val="345F6244"/>
    <w:rsid w:val="3482398D"/>
    <w:rsid w:val="34914DCA"/>
    <w:rsid w:val="34B15A7F"/>
    <w:rsid w:val="34C6331F"/>
    <w:rsid w:val="34D95BB9"/>
    <w:rsid w:val="34FC410B"/>
    <w:rsid w:val="352C0190"/>
    <w:rsid w:val="3592022B"/>
    <w:rsid w:val="35A27101"/>
    <w:rsid w:val="35BA0DB0"/>
    <w:rsid w:val="35DE2AA7"/>
    <w:rsid w:val="35FF5BFB"/>
    <w:rsid w:val="360577EE"/>
    <w:rsid w:val="361C2353"/>
    <w:rsid w:val="3635547B"/>
    <w:rsid w:val="36392222"/>
    <w:rsid w:val="36746B61"/>
    <w:rsid w:val="36A9407C"/>
    <w:rsid w:val="36C8360D"/>
    <w:rsid w:val="36F1119E"/>
    <w:rsid w:val="36FA1D41"/>
    <w:rsid w:val="373E497A"/>
    <w:rsid w:val="37483692"/>
    <w:rsid w:val="379A38CD"/>
    <w:rsid w:val="37C2178A"/>
    <w:rsid w:val="37E376C2"/>
    <w:rsid w:val="380411EC"/>
    <w:rsid w:val="38156DAA"/>
    <w:rsid w:val="381E6B0A"/>
    <w:rsid w:val="3829480D"/>
    <w:rsid w:val="383529C2"/>
    <w:rsid w:val="383C5BD0"/>
    <w:rsid w:val="38536D3F"/>
    <w:rsid w:val="388727CC"/>
    <w:rsid w:val="389F2534"/>
    <w:rsid w:val="39024B57"/>
    <w:rsid w:val="39D118C2"/>
    <w:rsid w:val="39ED61F1"/>
    <w:rsid w:val="3A06167E"/>
    <w:rsid w:val="3A4B3907"/>
    <w:rsid w:val="3A626ADC"/>
    <w:rsid w:val="3A690D4A"/>
    <w:rsid w:val="3A6F42D5"/>
    <w:rsid w:val="3A82293D"/>
    <w:rsid w:val="3A9E2AD9"/>
    <w:rsid w:val="3AB008DF"/>
    <w:rsid w:val="3BC23F1A"/>
    <w:rsid w:val="3C6B6636"/>
    <w:rsid w:val="3CAD2D9B"/>
    <w:rsid w:val="3CB87AB0"/>
    <w:rsid w:val="3CD8469E"/>
    <w:rsid w:val="3CE67B3B"/>
    <w:rsid w:val="3D2E7413"/>
    <w:rsid w:val="3D966C01"/>
    <w:rsid w:val="3DA51E2F"/>
    <w:rsid w:val="3DB43891"/>
    <w:rsid w:val="3DD513C5"/>
    <w:rsid w:val="3E572BFC"/>
    <w:rsid w:val="3E633F95"/>
    <w:rsid w:val="3ECB1166"/>
    <w:rsid w:val="3F100A04"/>
    <w:rsid w:val="3F251027"/>
    <w:rsid w:val="3F272409"/>
    <w:rsid w:val="3F952962"/>
    <w:rsid w:val="402C7FBD"/>
    <w:rsid w:val="40325295"/>
    <w:rsid w:val="4035712D"/>
    <w:rsid w:val="40695B21"/>
    <w:rsid w:val="40877A7B"/>
    <w:rsid w:val="40DA4F6A"/>
    <w:rsid w:val="40F82E28"/>
    <w:rsid w:val="410616AA"/>
    <w:rsid w:val="41585AC3"/>
    <w:rsid w:val="4196772F"/>
    <w:rsid w:val="41B34CCB"/>
    <w:rsid w:val="41FA67C3"/>
    <w:rsid w:val="420610DF"/>
    <w:rsid w:val="42067372"/>
    <w:rsid w:val="420722F5"/>
    <w:rsid w:val="4228051F"/>
    <w:rsid w:val="426549D3"/>
    <w:rsid w:val="429544E1"/>
    <w:rsid w:val="42A73786"/>
    <w:rsid w:val="42CE6929"/>
    <w:rsid w:val="42F71CEC"/>
    <w:rsid w:val="43EA3811"/>
    <w:rsid w:val="442900AC"/>
    <w:rsid w:val="443B107F"/>
    <w:rsid w:val="4446021D"/>
    <w:rsid w:val="448F3C0D"/>
    <w:rsid w:val="44A17CE4"/>
    <w:rsid w:val="44B14540"/>
    <w:rsid w:val="44BA7E1E"/>
    <w:rsid w:val="44BE79C3"/>
    <w:rsid w:val="45220D91"/>
    <w:rsid w:val="45575B41"/>
    <w:rsid w:val="45B0322B"/>
    <w:rsid w:val="45C801D1"/>
    <w:rsid w:val="45CA31DA"/>
    <w:rsid w:val="45EA5960"/>
    <w:rsid w:val="45EC6821"/>
    <w:rsid w:val="45F303D0"/>
    <w:rsid w:val="462951B1"/>
    <w:rsid w:val="464004CF"/>
    <w:rsid w:val="46B51FCF"/>
    <w:rsid w:val="46BA0199"/>
    <w:rsid w:val="46EA03AD"/>
    <w:rsid w:val="47062A9A"/>
    <w:rsid w:val="474979C9"/>
    <w:rsid w:val="47846325"/>
    <w:rsid w:val="47993F84"/>
    <w:rsid w:val="47BD666C"/>
    <w:rsid w:val="480A17DC"/>
    <w:rsid w:val="481C7B4D"/>
    <w:rsid w:val="482A22A2"/>
    <w:rsid w:val="485616AF"/>
    <w:rsid w:val="48B97BCD"/>
    <w:rsid w:val="48C30446"/>
    <w:rsid w:val="48DC1590"/>
    <w:rsid w:val="49A12DBF"/>
    <w:rsid w:val="49F17322"/>
    <w:rsid w:val="4A284A82"/>
    <w:rsid w:val="4A662E1D"/>
    <w:rsid w:val="4A7279AC"/>
    <w:rsid w:val="4A7E32B4"/>
    <w:rsid w:val="4AB203A8"/>
    <w:rsid w:val="4AFC533A"/>
    <w:rsid w:val="4B1367B9"/>
    <w:rsid w:val="4B1A2C39"/>
    <w:rsid w:val="4B316DE7"/>
    <w:rsid w:val="4B9468B5"/>
    <w:rsid w:val="4C353BC7"/>
    <w:rsid w:val="4C5A6AE5"/>
    <w:rsid w:val="4C5D54D6"/>
    <w:rsid w:val="4C814518"/>
    <w:rsid w:val="4C9046DA"/>
    <w:rsid w:val="4C91315E"/>
    <w:rsid w:val="4C920FA7"/>
    <w:rsid w:val="4C9668DA"/>
    <w:rsid w:val="4CAD0872"/>
    <w:rsid w:val="4CBF0E22"/>
    <w:rsid w:val="4CCE50CA"/>
    <w:rsid w:val="4D3A24A4"/>
    <w:rsid w:val="4D594475"/>
    <w:rsid w:val="4D904E8F"/>
    <w:rsid w:val="4D942FD5"/>
    <w:rsid w:val="4DB06342"/>
    <w:rsid w:val="4DEC01C6"/>
    <w:rsid w:val="4DF158ED"/>
    <w:rsid w:val="4E4D0205"/>
    <w:rsid w:val="4E9F07F8"/>
    <w:rsid w:val="4EA01FFE"/>
    <w:rsid w:val="4EC83A06"/>
    <w:rsid w:val="4F2C3853"/>
    <w:rsid w:val="4F3672F7"/>
    <w:rsid w:val="4F7149CD"/>
    <w:rsid w:val="4F7F20AA"/>
    <w:rsid w:val="4F873909"/>
    <w:rsid w:val="4FF15837"/>
    <w:rsid w:val="4FF617D6"/>
    <w:rsid w:val="504C7732"/>
    <w:rsid w:val="506B2DFC"/>
    <w:rsid w:val="50E64646"/>
    <w:rsid w:val="511944E2"/>
    <w:rsid w:val="516A6684"/>
    <w:rsid w:val="518C6DB2"/>
    <w:rsid w:val="51C63FC9"/>
    <w:rsid w:val="51E261D3"/>
    <w:rsid w:val="52BB0FA2"/>
    <w:rsid w:val="530B5D78"/>
    <w:rsid w:val="53211227"/>
    <w:rsid w:val="532C26FC"/>
    <w:rsid w:val="53322A76"/>
    <w:rsid w:val="534357AA"/>
    <w:rsid w:val="5353095F"/>
    <w:rsid w:val="53C54AA3"/>
    <w:rsid w:val="53CB0441"/>
    <w:rsid w:val="53D073F3"/>
    <w:rsid w:val="54903B1E"/>
    <w:rsid w:val="54A648D1"/>
    <w:rsid w:val="54BC4786"/>
    <w:rsid w:val="54E44ED6"/>
    <w:rsid w:val="55306FAC"/>
    <w:rsid w:val="55496C8E"/>
    <w:rsid w:val="55571991"/>
    <w:rsid w:val="55C92EB4"/>
    <w:rsid w:val="55F36257"/>
    <w:rsid w:val="566931AC"/>
    <w:rsid w:val="56732764"/>
    <w:rsid w:val="56F374FB"/>
    <w:rsid w:val="57273679"/>
    <w:rsid w:val="57617E3C"/>
    <w:rsid w:val="576A4397"/>
    <w:rsid w:val="57A4681C"/>
    <w:rsid w:val="57C22C94"/>
    <w:rsid w:val="57D50360"/>
    <w:rsid w:val="58226F2A"/>
    <w:rsid w:val="584060FB"/>
    <w:rsid w:val="58575DCB"/>
    <w:rsid w:val="588A6324"/>
    <w:rsid w:val="58930E60"/>
    <w:rsid w:val="58A17B6B"/>
    <w:rsid w:val="5912308A"/>
    <w:rsid w:val="59620232"/>
    <w:rsid w:val="59A00F56"/>
    <w:rsid w:val="59B24039"/>
    <w:rsid w:val="59C13F78"/>
    <w:rsid w:val="5A31005C"/>
    <w:rsid w:val="5B411AD2"/>
    <w:rsid w:val="5B606ED8"/>
    <w:rsid w:val="5B7116B1"/>
    <w:rsid w:val="5B8D1AC1"/>
    <w:rsid w:val="5BA3592C"/>
    <w:rsid w:val="5BCE27CA"/>
    <w:rsid w:val="5BF571AF"/>
    <w:rsid w:val="5C2B12DD"/>
    <w:rsid w:val="5C320ADE"/>
    <w:rsid w:val="5C354D15"/>
    <w:rsid w:val="5C5643FE"/>
    <w:rsid w:val="5C610721"/>
    <w:rsid w:val="5C8B6FF1"/>
    <w:rsid w:val="5CC028EC"/>
    <w:rsid w:val="5CF574C6"/>
    <w:rsid w:val="5CFE4143"/>
    <w:rsid w:val="5D35434B"/>
    <w:rsid w:val="5D396426"/>
    <w:rsid w:val="5D4A5F73"/>
    <w:rsid w:val="5D5D3E87"/>
    <w:rsid w:val="5D962786"/>
    <w:rsid w:val="5DA57179"/>
    <w:rsid w:val="5E204AD7"/>
    <w:rsid w:val="5E6D4BC0"/>
    <w:rsid w:val="5EAA1590"/>
    <w:rsid w:val="5EE64437"/>
    <w:rsid w:val="5F3E69CE"/>
    <w:rsid w:val="5F8A214E"/>
    <w:rsid w:val="60005DE1"/>
    <w:rsid w:val="6009519E"/>
    <w:rsid w:val="604F208F"/>
    <w:rsid w:val="608032C5"/>
    <w:rsid w:val="60A244A6"/>
    <w:rsid w:val="60AD5F5F"/>
    <w:rsid w:val="60E30438"/>
    <w:rsid w:val="612D3C7B"/>
    <w:rsid w:val="61826F89"/>
    <w:rsid w:val="622B7806"/>
    <w:rsid w:val="62947A1C"/>
    <w:rsid w:val="62AD7268"/>
    <w:rsid w:val="62C41953"/>
    <w:rsid w:val="62CD6DE1"/>
    <w:rsid w:val="62E70A4E"/>
    <w:rsid w:val="62FD4A9D"/>
    <w:rsid w:val="6303455C"/>
    <w:rsid w:val="632C6FC4"/>
    <w:rsid w:val="634B3FF6"/>
    <w:rsid w:val="63D26D94"/>
    <w:rsid w:val="64460ECC"/>
    <w:rsid w:val="644F5E22"/>
    <w:rsid w:val="64681DB1"/>
    <w:rsid w:val="647C2485"/>
    <w:rsid w:val="64902A98"/>
    <w:rsid w:val="64D843A5"/>
    <w:rsid w:val="64F45079"/>
    <w:rsid w:val="652B7ADD"/>
    <w:rsid w:val="65761D79"/>
    <w:rsid w:val="663B46C9"/>
    <w:rsid w:val="663F30CF"/>
    <w:rsid w:val="66BA2E40"/>
    <w:rsid w:val="66DB6E0D"/>
    <w:rsid w:val="67095AC0"/>
    <w:rsid w:val="67413BF6"/>
    <w:rsid w:val="6755359A"/>
    <w:rsid w:val="6772546E"/>
    <w:rsid w:val="677A59C8"/>
    <w:rsid w:val="67A7418D"/>
    <w:rsid w:val="67A8014D"/>
    <w:rsid w:val="67D27C62"/>
    <w:rsid w:val="67DF6978"/>
    <w:rsid w:val="67F35192"/>
    <w:rsid w:val="682235E9"/>
    <w:rsid w:val="68293DA1"/>
    <w:rsid w:val="68734DC3"/>
    <w:rsid w:val="68CE177E"/>
    <w:rsid w:val="691371F0"/>
    <w:rsid w:val="692A5AB7"/>
    <w:rsid w:val="694E04D2"/>
    <w:rsid w:val="698044A5"/>
    <w:rsid w:val="6A510F7A"/>
    <w:rsid w:val="6A6C6916"/>
    <w:rsid w:val="6AA67E64"/>
    <w:rsid w:val="6AE97EDA"/>
    <w:rsid w:val="6AF0586F"/>
    <w:rsid w:val="6B0D712F"/>
    <w:rsid w:val="6B28575B"/>
    <w:rsid w:val="6B43094C"/>
    <w:rsid w:val="6B6359C1"/>
    <w:rsid w:val="6B6401A9"/>
    <w:rsid w:val="6B941322"/>
    <w:rsid w:val="6BCE713E"/>
    <w:rsid w:val="6BE4485D"/>
    <w:rsid w:val="6C214A06"/>
    <w:rsid w:val="6C274491"/>
    <w:rsid w:val="6C3B431E"/>
    <w:rsid w:val="6C5612E6"/>
    <w:rsid w:val="6C615051"/>
    <w:rsid w:val="6C831F76"/>
    <w:rsid w:val="6C857DA8"/>
    <w:rsid w:val="6CC1587C"/>
    <w:rsid w:val="6CE05E94"/>
    <w:rsid w:val="6D0C53AD"/>
    <w:rsid w:val="6D2B74AA"/>
    <w:rsid w:val="6D697BC3"/>
    <w:rsid w:val="6D7111BC"/>
    <w:rsid w:val="6D8A2110"/>
    <w:rsid w:val="6DCA5CB9"/>
    <w:rsid w:val="6DD87236"/>
    <w:rsid w:val="6E112981"/>
    <w:rsid w:val="6E280F38"/>
    <w:rsid w:val="6E2952EC"/>
    <w:rsid w:val="6E8A21F7"/>
    <w:rsid w:val="6EE97C2C"/>
    <w:rsid w:val="6F003289"/>
    <w:rsid w:val="6F2867BD"/>
    <w:rsid w:val="6F44559B"/>
    <w:rsid w:val="6F452AC1"/>
    <w:rsid w:val="6F4C1E12"/>
    <w:rsid w:val="6F6E67BD"/>
    <w:rsid w:val="6FA23BCC"/>
    <w:rsid w:val="6FB116C5"/>
    <w:rsid w:val="6FC67485"/>
    <w:rsid w:val="6FD70219"/>
    <w:rsid w:val="6FF81182"/>
    <w:rsid w:val="701174EE"/>
    <w:rsid w:val="701778AD"/>
    <w:rsid w:val="703A2630"/>
    <w:rsid w:val="70543E0A"/>
    <w:rsid w:val="709C594C"/>
    <w:rsid w:val="70C444DC"/>
    <w:rsid w:val="71603530"/>
    <w:rsid w:val="71D05F49"/>
    <w:rsid w:val="71FD66C1"/>
    <w:rsid w:val="72541045"/>
    <w:rsid w:val="72713341"/>
    <w:rsid w:val="72BD57BE"/>
    <w:rsid w:val="72C95262"/>
    <w:rsid w:val="73265607"/>
    <w:rsid w:val="73DA0C3D"/>
    <w:rsid w:val="73F82EA2"/>
    <w:rsid w:val="74153873"/>
    <w:rsid w:val="74326E76"/>
    <w:rsid w:val="7435596C"/>
    <w:rsid w:val="746719A4"/>
    <w:rsid w:val="74722C9A"/>
    <w:rsid w:val="747E452E"/>
    <w:rsid w:val="748E0122"/>
    <w:rsid w:val="74920299"/>
    <w:rsid w:val="74E00156"/>
    <w:rsid w:val="74FA5A4A"/>
    <w:rsid w:val="755F161D"/>
    <w:rsid w:val="75826A49"/>
    <w:rsid w:val="75884210"/>
    <w:rsid w:val="75A746B3"/>
    <w:rsid w:val="75BD4A84"/>
    <w:rsid w:val="75C70B52"/>
    <w:rsid w:val="75EA7003"/>
    <w:rsid w:val="760D56E2"/>
    <w:rsid w:val="76DC0A0A"/>
    <w:rsid w:val="76EE218C"/>
    <w:rsid w:val="770D531F"/>
    <w:rsid w:val="772E0B03"/>
    <w:rsid w:val="77333282"/>
    <w:rsid w:val="773B6364"/>
    <w:rsid w:val="778A542A"/>
    <w:rsid w:val="778B4EF3"/>
    <w:rsid w:val="77C177F8"/>
    <w:rsid w:val="77CB21C8"/>
    <w:rsid w:val="77CD2D4D"/>
    <w:rsid w:val="77ED4479"/>
    <w:rsid w:val="77EF5E51"/>
    <w:rsid w:val="782F651C"/>
    <w:rsid w:val="78485FF0"/>
    <w:rsid w:val="78903368"/>
    <w:rsid w:val="78A14A80"/>
    <w:rsid w:val="78B73836"/>
    <w:rsid w:val="79332F0B"/>
    <w:rsid w:val="79366DE4"/>
    <w:rsid w:val="795A2FE4"/>
    <w:rsid w:val="7975135A"/>
    <w:rsid w:val="79C11BD2"/>
    <w:rsid w:val="79D4129A"/>
    <w:rsid w:val="79E8078D"/>
    <w:rsid w:val="7A1971F1"/>
    <w:rsid w:val="7A3422EE"/>
    <w:rsid w:val="7A4774F3"/>
    <w:rsid w:val="7A6C100D"/>
    <w:rsid w:val="7A772DB3"/>
    <w:rsid w:val="7A9866DB"/>
    <w:rsid w:val="7A99027A"/>
    <w:rsid w:val="7A9F34CA"/>
    <w:rsid w:val="7AA678C6"/>
    <w:rsid w:val="7AAA3973"/>
    <w:rsid w:val="7B113087"/>
    <w:rsid w:val="7B36739D"/>
    <w:rsid w:val="7B434C9F"/>
    <w:rsid w:val="7B5441DD"/>
    <w:rsid w:val="7B554AA6"/>
    <w:rsid w:val="7B696F52"/>
    <w:rsid w:val="7B9E2E7D"/>
    <w:rsid w:val="7BC77CC7"/>
    <w:rsid w:val="7BCF66EE"/>
    <w:rsid w:val="7BEA35A6"/>
    <w:rsid w:val="7C050B07"/>
    <w:rsid w:val="7C4342F2"/>
    <w:rsid w:val="7C4B2D14"/>
    <w:rsid w:val="7C9E5594"/>
    <w:rsid w:val="7C9E7A01"/>
    <w:rsid w:val="7CAC5B6D"/>
    <w:rsid w:val="7CBD3BAE"/>
    <w:rsid w:val="7CE10885"/>
    <w:rsid w:val="7D0378B3"/>
    <w:rsid w:val="7D1C5482"/>
    <w:rsid w:val="7D2E186E"/>
    <w:rsid w:val="7D3A1F53"/>
    <w:rsid w:val="7D56680F"/>
    <w:rsid w:val="7D640B84"/>
    <w:rsid w:val="7D707D13"/>
    <w:rsid w:val="7D8F4D8B"/>
    <w:rsid w:val="7DBA4407"/>
    <w:rsid w:val="7DD14D63"/>
    <w:rsid w:val="7E0773D0"/>
    <w:rsid w:val="7E203A10"/>
    <w:rsid w:val="7E5D66DD"/>
    <w:rsid w:val="7E734104"/>
    <w:rsid w:val="7E7B09AB"/>
    <w:rsid w:val="7EE43DB7"/>
    <w:rsid w:val="7EEE5FCC"/>
    <w:rsid w:val="7F2E279D"/>
    <w:rsid w:val="7F437827"/>
    <w:rsid w:val="7F60044C"/>
    <w:rsid w:val="7F7054DF"/>
    <w:rsid w:val="7F880165"/>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1"/>
    <w:next w:val="5"/>
    <w:qFormat/>
    <w:uiPriority w:val="0"/>
    <w:pPr>
      <w:tabs>
        <w:tab w:val="left" w:pos="432"/>
      </w:tabs>
      <w:spacing w:before="120"/>
      <w:outlineLvl w:val="2"/>
    </w:pPr>
    <w:rPr>
      <w:sz w:val="28"/>
      <w:szCs w:val="28"/>
    </w:rPr>
  </w:style>
  <w:style w:type="paragraph" w:styleId="7">
    <w:name w:val="heading 4"/>
    <w:basedOn w:val="4"/>
    <w:next w:val="1"/>
    <w:qFormat/>
    <w:uiPriority w:val="0"/>
    <w:pPr>
      <w:outlineLvl w:val="3"/>
    </w:pPr>
    <w:rPr>
      <w:sz w:val="24"/>
      <w:szCs w:val="24"/>
    </w:rPr>
  </w:style>
  <w:style w:type="paragraph" w:styleId="8">
    <w:name w:val="heading 5"/>
    <w:basedOn w:val="7"/>
    <w:next w:val="1"/>
    <w:qFormat/>
    <w:uiPriority w:val="0"/>
    <w:pPr>
      <w:outlineLvl w:val="4"/>
    </w:pPr>
    <w:rPr>
      <w:sz w:val="22"/>
      <w:szCs w:val="22"/>
    </w:rPr>
  </w:style>
  <w:style w:type="paragraph" w:styleId="9">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10">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11">
    <w:name w:val="heading 8"/>
    <w:basedOn w:val="10"/>
    <w:next w:val="1"/>
    <w:qFormat/>
    <w:uiPriority w:val="0"/>
    <w:pPr>
      <w:numPr>
        <w:ilvl w:val="7"/>
      </w:numPr>
      <w:tabs>
        <w:tab w:val="clear" w:pos="1296"/>
      </w:tabs>
      <w:outlineLvl w:val="7"/>
    </w:pPr>
  </w:style>
  <w:style w:type="paragraph" w:styleId="12">
    <w:name w:val="heading 9"/>
    <w:basedOn w:val="11"/>
    <w:next w:val="1"/>
    <w:qFormat/>
    <w:uiPriority w:val="0"/>
    <w:pPr>
      <w:numPr>
        <w:ilvl w:val="8"/>
      </w:num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pos="1701"/>
      </w:tabs>
      <w:ind w:left="2268" w:hanging="2268"/>
    </w:pPr>
  </w:style>
  <w:style w:type="paragraph" w:styleId="17">
    <w:name w:val="toc 6"/>
    <w:basedOn w:val="18"/>
    <w:next w:val="1"/>
    <w:semiHidden/>
    <w:qFormat/>
    <w:uiPriority w:val="0"/>
    <w:pPr>
      <w:tabs>
        <w:tab w:val="right" w:pos="1701"/>
      </w:tabs>
      <w:ind w:left="1985" w:hanging="1985"/>
    </w:pPr>
  </w:style>
  <w:style w:type="paragraph" w:styleId="18">
    <w:name w:val="toc 5"/>
    <w:basedOn w:val="19"/>
    <w:next w:val="1"/>
    <w:semiHidden/>
    <w:qFormat/>
    <w:uiPriority w:val="0"/>
    <w:pPr>
      <w:tabs>
        <w:tab w:val="right" w:pos="1701"/>
      </w:tabs>
      <w:ind w:left="1701" w:hanging="1701"/>
    </w:pPr>
  </w:style>
  <w:style w:type="paragraph" w:styleId="19">
    <w:name w:val="toc 4"/>
    <w:basedOn w:val="20"/>
    <w:next w:val="1"/>
    <w:semiHidden/>
    <w:qFormat/>
    <w:uiPriority w:val="0"/>
    <w:pPr>
      <w:tabs>
        <w:tab w:val="left" w:pos="1701"/>
      </w:tabs>
      <w:ind w:left="1418" w:hanging="1418"/>
    </w:pPr>
  </w:style>
  <w:style w:type="paragraph" w:styleId="20">
    <w:name w:val="toc 3"/>
    <w:basedOn w:val="21"/>
    <w:next w:val="1"/>
    <w:semiHidden/>
    <w:qFormat/>
    <w:uiPriority w:val="0"/>
    <w:pPr>
      <w:tabs>
        <w:tab w:val="left" w:pos="1701"/>
      </w:tabs>
      <w:ind w:left="1134" w:hanging="1134"/>
    </w:pPr>
  </w:style>
  <w:style w:type="paragraph" w:styleId="21">
    <w:name w:val="toc 2"/>
    <w:basedOn w:val="22"/>
    <w:next w:val="1"/>
    <w:semiHidden/>
    <w:qFormat/>
    <w:uiPriority w:val="0"/>
    <w:pPr>
      <w:tabs>
        <w:tab w:val="left" w:pos="1701"/>
      </w:tabs>
      <w:spacing w:before="0"/>
      <w:ind w:left="851" w:hanging="851"/>
    </w:pPr>
    <w:rPr>
      <w:szCs w:val="20"/>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numPr>
        <w:numId w:val="2"/>
      </w:numPr>
      <w:tabs>
        <w:tab w:val="left" w:pos="510"/>
        <w:tab w:val="left" w:pos="794"/>
        <w:tab w:val="left" w:pos="1077"/>
        <w:tab w:val="left" w:pos="1361"/>
      </w:tabs>
    </w:pPr>
  </w:style>
  <w:style w:type="paragraph" w:styleId="26">
    <w:name w:val="List Bullet 3"/>
    <w:basedOn w:val="27"/>
    <w:qFormat/>
    <w:uiPriority w:val="0"/>
    <w:pPr>
      <w:numPr>
        <w:numId w:val="3"/>
      </w:numPr>
      <w:tabs>
        <w:tab w:val="left" w:pos="510"/>
        <w:tab w:val="left" w:pos="794"/>
        <w:tab w:val="left" w:pos="1077"/>
      </w:tabs>
    </w:pPr>
  </w:style>
  <w:style w:type="paragraph" w:styleId="27">
    <w:name w:val="List Bullet 2"/>
    <w:basedOn w:val="28"/>
    <w:qFormat/>
    <w:uiPriority w:val="0"/>
    <w:pPr>
      <w:numPr>
        <w:ilvl w:val="0"/>
        <w:numId w:val="4"/>
      </w:numPr>
      <w:tabs>
        <w:tab w:val="left" w:pos="510"/>
      </w:tabs>
    </w:pPr>
  </w:style>
  <w:style w:type="paragraph" w:styleId="28">
    <w:name w:val="List Bullet"/>
    <w:basedOn w:val="29"/>
    <w:qFormat/>
    <w:uiPriority w:val="0"/>
    <w:pPr>
      <w:numPr>
        <w:ilvl w:val="0"/>
        <w:numId w:val="5"/>
      </w:numPr>
    </w:pPr>
  </w:style>
  <w:style w:type="paragraph" w:styleId="29">
    <w:name w:val="Body Text"/>
    <w:basedOn w:val="1"/>
    <w:link w:val="91"/>
    <w:qFormat/>
    <w:uiPriority w:val="0"/>
    <w:rPr>
      <w:rFonts w:eastAsia="Malgun Gothic"/>
    </w:rPr>
  </w:style>
  <w:style w:type="paragraph" w:styleId="30">
    <w:name w:val="caption"/>
    <w:basedOn w:val="1"/>
    <w:next w:val="1"/>
    <w:qFormat/>
    <w:uiPriority w:val="0"/>
    <w:pPr>
      <w:spacing w:after="240"/>
      <w:jc w:val="center"/>
    </w:pPr>
    <w:rPr>
      <w:b/>
      <w:bCs/>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link w:val="113"/>
    <w:semiHidden/>
    <w:qFormat/>
    <w:uiPriority w:val="0"/>
  </w:style>
  <w:style w:type="paragraph" w:styleId="33">
    <w:name w:val="List Bullet 5"/>
    <w:basedOn w:val="25"/>
    <w:qFormat/>
    <w:uiPriority w:val="0"/>
    <w:pPr>
      <w:numPr>
        <w:numId w:val="6"/>
      </w:numPr>
      <w:tabs>
        <w:tab w:val="left" w:pos="1644"/>
        <w:tab w:val="clear" w:pos="1361"/>
      </w:tabs>
    </w:pPr>
  </w:style>
  <w:style w:type="paragraph" w:styleId="34">
    <w:name w:val="toc 8"/>
    <w:basedOn w:val="22"/>
    <w:next w:val="1"/>
    <w:semiHidden/>
    <w:qFormat/>
    <w:uiPriority w:val="0"/>
    <w:pPr>
      <w:spacing w:before="180"/>
      <w:ind w:left="2693" w:hanging="2693"/>
    </w:pPr>
    <w:rPr>
      <w:b w:val="0"/>
      <w:bCs/>
    </w:rPr>
  </w:style>
  <w:style w:type="paragraph" w:styleId="35">
    <w:name w:val="Balloon Text"/>
    <w:basedOn w:val="1"/>
    <w:semiHidden/>
    <w:qFormat/>
    <w:uiPriority w:val="0"/>
    <w:rPr>
      <w:rFonts w:ascii="Tahoma" w:hAnsi="Tahoma" w:cs="Tahoma"/>
      <w:sz w:val="16"/>
      <w:szCs w:val="16"/>
    </w:rPr>
  </w:style>
  <w:style w:type="paragraph" w:styleId="36">
    <w:name w:val="footer"/>
    <w:basedOn w:val="37"/>
    <w:semiHidden/>
    <w:qFormat/>
    <w:uiPriority w:val="0"/>
    <w:pPr>
      <w:jc w:val="center"/>
    </w:pPr>
    <w:rPr>
      <w:i/>
      <w:iCs/>
    </w:rPr>
  </w:style>
  <w:style w:type="paragraph" w:styleId="37">
    <w:name w:val="header"/>
    <w:basedOn w:val="1"/>
    <w:link w:val="99"/>
    <w:qFormat/>
    <w:uiPriority w:val="0"/>
    <w:pPr>
      <w:widowControl w:val="0"/>
    </w:pPr>
    <w:rPr>
      <w:rFonts w:eastAsia="MS Mincho"/>
      <w:b/>
      <w:sz w:val="24"/>
      <w:szCs w:val="24"/>
    </w:rPr>
  </w:style>
  <w:style w:type="paragraph" w:styleId="38">
    <w:name w:val="footnote text"/>
    <w:basedOn w:val="1"/>
    <w:semiHidden/>
    <w:qFormat/>
    <w:uiPriority w:val="0"/>
    <w:pPr>
      <w:keepLines/>
      <w:spacing w:after="0"/>
      <w:ind w:left="454" w:hanging="454"/>
    </w:pPr>
    <w:rPr>
      <w:sz w:val="16"/>
      <w:szCs w:val="16"/>
    </w:rPr>
  </w:style>
  <w:style w:type="paragraph" w:styleId="39">
    <w:name w:val="List 5"/>
    <w:basedOn w:val="40"/>
    <w:qFormat/>
    <w:uiPriority w:val="0"/>
    <w:pPr>
      <w:ind w:left="1702"/>
    </w:pPr>
  </w:style>
  <w:style w:type="paragraph" w:styleId="40">
    <w:name w:val="List 4"/>
    <w:basedOn w:val="13"/>
    <w:qFormat/>
    <w:uiPriority w:val="0"/>
    <w:pPr>
      <w:ind w:left="1418"/>
    </w:pPr>
  </w:style>
  <w:style w:type="paragraph" w:styleId="41">
    <w:name w:val="table of figures"/>
    <w:basedOn w:val="1"/>
    <w:next w:val="1"/>
    <w:qFormat/>
    <w:uiPriority w:val="99"/>
    <w:pPr>
      <w:ind w:left="1418" w:hanging="1418"/>
      <w:jc w:val="left"/>
    </w:pPr>
    <w:rPr>
      <w:b/>
    </w:rPr>
  </w:style>
  <w:style w:type="paragraph" w:styleId="42">
    <w:name w:val="toc 9"/>
    <w:basedOn w:val="34"/>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2"/>
    <w:next w:val="32"/>
    <w:semiHidden/>
    <w:qFormat/>
    <w:uiPriority w:val="0"/>
    <w:rPr>
      <w:b/>
      <w:bCs/>
    </w:rPr>
  </w:style>
  <w:style w:type="table" w:styleId="48">
    <w:name w:val="Table Grid"/>
    <w:basedOn w:val="47"/>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basedOn w:val="49"/>
    <w:semiHidden/>
    <w:qFormat/>
    <w:uiPriority w:val="0"/>
  </w:style>
  <w:style w:type="character" w:styleId="51">
    <w:name w:val="FollowedHyperlink"/>
    <w:semiHidden/>
    <w:qFormat/>
    <w:uiPriority w:val="0"/>
    <w:rPr>
      <w:color w:val="FF0000"/>
      <w:u w:val="single"/>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bCs/>
      <w:position w:val="6"/>
      <w:sz w:val="16"/>
      <w:szCs w:val="16"/>
    </w:rPr>
  </w:style>
  <w:style w:type="paragraph" w:customStyle="1" w:styleId="55">
    <w:name w:val="Figure"/>
    <w:basedOn w:val="1"/>
    <w:next w:val="30"/>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5"/>
    <w:link w:val="101"/>
    <w:qFormat/>
    <w:uiPriority w:val="0"/>
    <w:pPr>
      <w:spacing w:after="180"/>
      <w:jc w:val="left"/>
    </w:pPr>
    <w:rPr>
      <w:lang w:eastAsia="en-US"/>
    </w:rPr>
  </w:style>
  <w:style w:type="paragraph" w:customStyle="1" w:styleId="61">
    <w:name w:val="B2"/>
    <w:basedOn w:val="14"/>
    <w:qFormat/>
    <w:uiPriority w:val="0"/>
    <w:pPr>
      <w:spacing w:after="180"/>
      <w:jc w:val="left"/>
    </w:pPr>
    <w:rPr>
      <w:lang w:eastAsia="en-US"/>
    </w:rPr>
  </w:style>
  <w:style w:type="paragraph" w:customStyle="1" w:styleId="62">
    <w:name w:val="B3"/>
    <w:basedOn w:val="13"/>
    <w:qFormat/>
    <w:uiPriority w:val="0"/>
    <w:pPr>
      <w:spacing w:after="180"/>
      <w:jc w:val="left"/>
    </w:pPr>
    <w:rPr>
      <w:lang w:eastAsia="en-US"/>
    </w:rPr>
  </w:style>
  <w:style w:type="paragraph" w:customStyle="1" w:styleId="63">
    <w:name w:val="B4"/>
    <w:basedOn w:val="40"/>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9"/>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9"/>
    <w:qFormat/>
    <w:uiPriority w:val="0"/>
    <w:rPr>
      <w:rFonts w:ascii="Arial" w:hAnsi="Arial"/>
      <w:lang w:eastAsia="zh-CN"/>
    </w:rPr>
  </w:style>
  <w:style w:type="character" w:customStyle="1" w:styleId="92">
    <w:name w:val="ZGSM"/>
    <w:qFormat/>
    <w:uiPriority w:val="0"/>
  </w:style>
  <w:style w:type="character" w:customStyle="1" w:styleId="93">
    <w:name w:val="Doc-text2 Char"/>
    <w:link w:val="6"/>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7"/>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6"/>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2"/>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102B6B-4953-404C-BEC2-85CF69298202}">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Huawei Technologies Co.,Ltd.</Company>
  <Pages>7</Pages>
  <Words>2220</Words>
  <Characters>12656</Characters>
  <Lines>105</Lines>
  <Paragraphs>29</Paragraphs>
  <TotalTime>0</TotalTime>
  <ScaleCrop>false</ScaleCrop>
  <LinksUpToDate>false</LinksUpToDate>
  <CharactersWithSpaces>14847</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cmcc</dc:creator>
  <cp:lastModifiedBy>cmcc</cp:lastModifiedBy>
  <cp:lastPrinted>2021-08-05T02:34:00Z</cp:lastPrinted>
  <dcterms:modified xsi:type="dcterms:W3CDTF">2023-04-07T08:24:11Z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2052-11.8.2.10912</vt:lpwstr>
  </property>
  <property fmtid="{D5CDD505-2E9C-101B-9397-08002B2CF9AE}" pid="17" name="ICV">
    <vt:lpwstr>57CFE0FD3B5D4AE68ECDF342C935EF88</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1676425947</vt:lpwstr>
  </property>
</Properties>
</file>